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F5F14">
      <w:pPr>
        <w:spacing w:line="500" w:lineRule="exact"/>
        <w:jc w:val="center"/>
        <w:rPr>
          <w:rFonts w:ascii="宋体" w:hAnsi="宋体" w:cs="仿宋_GB2312"/>
          <w:color w:val="auto"/>
          <w:sz w:val="28"/>
          <w:szCs w:val="28"/>
          <w:highlight w:val="none"/>
        </w:rPr>
      </w:pPr>
      <w:r>
        <w:rPr>
          <w:rFonts w:hint="eastAsia" w:ascii="宋体" w:hAnsi="宋体" w:cs="仿宋_GB2312"/>
          <w:color w:val="auto"/>
          <w:sz w:val="44"/>
          <w:szCs w:val="44"/>
          <w:highlight w:val="none"/>
        </w:rPr>
        <w:t>招标公告</w:t>
      </w:r>
    </w:p>
    <w:tbl>
      <w:tblPr>
        <w:tblStyle w:val="3"/>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9"/>
        <w:gridCol w:w="5620"/>
      </w:tblGrid>
      <w:tr w14:paraId="5C64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099" w:type="dxa"/>
            <w:noWrap w:val="0"/>
            <w:vAlign w:val="center"/>
          </w:tcPr>
          <w:p w14:paraId="45F4F3DD">
            <w:pPr>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招标单位（公章）</w:t>
            </w:r>
          </w:p>
        </w:tc>
        <w:tc>
          <w:tcPr>
            <w:tcW w:w="5620" w:type="dxa"/>
            <w:noWrap w:val="0"/>
            <w:vAlign w:val="center"/>
          </w:tcPr>
          <w:p w14:paraId="1EBC5D41">
            <w:pPr>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常州新航动力装备开发有限公司</w:t>
            </w:r>
            <w:r>
              <w:rPr>
                <w:rFonts w:hint="eastAsia" w:ascii="宋体" w:hAnsi="宋体" w:eastAsia="宋体" w:cs="宋体"/>
                <w:color w:val="auto"/>
                <w:sz w:val="21"/>
                <w:szCs w:val="21"/>
                <w:highlight w:val="none"/>
              </w:rPr>
              <w:t xml:space="preserve"> </w:t>
            </w:r>
          </w:p>
        </w:tc>
      </w:tr>
      <w:tr w14:paraId="7F21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3099" w:type="dxa"/>
            <w:noWrap w:val="0"/>
            <w:vAlign w:val="center"/>
          </w:tcPr>
          <w:p w14:paraId="57D77BC0">
            <w:pPr>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服务名称</w:t>
            </w:r>
          </w:p>
        </w:tc>
        <w:tc>
          <w:tcPr>
            <w:tcW w:w="5620" w:type="dxa"/>
            <w:noWrap w:val="0"/>
            <w:vAlign w:val="center"/>
          </w:tcPr>
          <w:p w14:paraId="7B91668D">
            <w:pPr>
              <w:adjustRightInd w:val="0"/>
              <w:snapToGrid w:val="0"/>
              <w:spacing w:line="5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常州空港产业园科技企业加速器(二期）项目监理</w:t>
            </w:r>
          </w:p>
        </w:tc>
      </w:tr>
      <w:tr w14:paraId="52BF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099" w:type="dxa"/>
            <w:noWrap w:val="0"/>
            <w:vAlign w:val="center"/>
          </w:tcPr>
          <w:p w14:paraId="1A5B12EC">
            <w:pPr>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服务地址</w:t>
            </w:r>
          </w:p>
        </w:tc>
        <w:tc>
          <w:tcPr>
            <w:tcW w:w="5620" w:type="dxa"/>
            <w:noWrap w:val="0"/>
            <w:vAlign w:val="center"/>
          </w:tcPr>
          <w:p w14:paraId="682B5C19">
            <w:pPr>
              <w:adjustRightInd w:val="0"/>
              <w:snapToGrid w:val="0"/>
              <w:spacing w:line="5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江苏省常州市新北区罗溪镇黄河西路以南、龙城大道以西</w:t>
            </w:r>
          </w:p>
        </w:tc>
      </w:tr>
      <w:tr w14:paraId="084D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099" w:type="dxa"/>
            <w:noWrap w:val="0"/>
            <w:vAlign w:val="center"/>
          </w:tcPr>
          <w:p w14:paraId="23DB201B">
            <w:pPr>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招标编号</w:t>
            </w:r>
          </w:p>
        </w:tc>
        <w:tc>
          <w:tcPr>
            <w:tcW w:w="5620" w:type="dxa"/>
            <w:noWrap w:val="0"/>
            <w:vAlign w:val="center"/>
          </w:tcPr>
          <w:p w14:paraId="1073EE5D">
            <w:pPr>
              <w:adjustRightInd w:val="0"/>
              <w:snapToGrid w:val="0"/>
              <w:spacing w:line="5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tc>
      </w:tr>
      <w:tr w14:paraId="61EE6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3099" w:type="dxa"/>
            <w:noWrap w:val="0"/>
            <w:vAlign w:val="center"/>
          </w:tcPr>
          <w:p w14:paraId="7DEF7D4F">
            <w:pPr>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服务估算造价</w:t>
            </w:r>
          </w:p>
        </w:tc>
        <w:tc>
          <w:tcPr>
            <w:tcW w:w="5620" w:type="dxa"/>
            <w:noWrap w:val="0"/>
            <w:vAlign w:val="center"/>
          </w:tcPr>
          <w:p w14:paraId="61978F74">
            <w:pPr>
              <w:adjustRightInd w:val="0"/>
              <w:snapToGrid w:val="0"/>
              <w:spacing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总价（含税）：</w:t>
            </w:r>
            <w:r>
              <w:rPr>
                <w:rFonts w:hint="eastAsia" w:ascii="宋体" w:hAnsi="宋体" w:cs="宋体"/>
                <w:color w:val="auto"/>
                <w:sz w:val="21"/>
                <w:szCs w:val="21"/>
                <w:highlight w:val="none"/>
                <w:lang w:val="en-US" w:eastAsia="zh-CN"/>
              </w:rPr>
              <w:t>453255</w:t>
            </w:r>
            <w:r>
              <w:rPr>
                <w:rFonts w:hint="eastAsia" w:ascii="宋体" w:hAnsi="宋体" w:eastAsia="宋体" w:cs="宋体"/>
                <w:color w:val="auto"/>
                <w:sz w:val="21"/>
                <w:szCs w:val="21"/>
                <w:highlight w:val="none"/>
              </w:rPr>
              <w:t>元，总价（不含税）</w:t>
            </w:r>
            <w:r>
              <w:rPr>
                <w:rFonts w:hint="eastAsia" w:ascii="宋体" w:hAnsi="宋体" w:cs="宋体"/>
                <w:color w:val="auto"/>
                <w:sz w:val="21"/>
                <w:szCs w:val="21"/>
                <w:highlight w:val="none"/>
                <w:lang w:val="en-US" w:eastAsia="zh-CN"/>
              </w:rPr>
              <w:t>427599.06</w:t>
            </w:r>
            <w:r>
              <w:rPr>
                <w:rFonts w:hint="eastAsia" w:ascii="宋体" w:hAnsi="宋体" w:eastAsia="宋体" w:cs="宋体"/>
                <w:color w:val="auto"/>
                <w:sz w:val="21"/>
                <w:szCs w:val="21"/>
                <w:highlight w:val="none"/>
              </w:rPr>
              <w:t>元，税率6%</w:t>
            </w:r>
          </w:p>
        </w:tc>
      </w:tr>
      <w:tr w14:paraId="3122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3099" w:type="dxa"/>
            <w:noWrap w:val="0"/>
            <w:vAlign w:val="center"/>
          </w:tcPr>
          <w:p w14:paraId="318A8AB1">
            <w:pPr>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招标内容</w:t>
            </w:r>
          </w:p>
        </w:tc>
        <w:tc>
          <w:tcPr>
            <w:tcW w:w="5620" w:type="dxa"/>
            <w:noWrap w:val="0"/>
            <w:vAlign w:val="center"/>
          </w:tcPr>
          <w:p w14:paraId="17045E57">
            <w:pPr>
              <w:adjustRightInd w:val="0"/>
              <w:snapToGrid w:val="0"/>
              <w:spacing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常州空港产业园科技企业加速器(二期）项目，利用自有土地26388平方米，新建厂房及配套，新增总建筑面积约41815平方米，本次招标为6号</w:t>
            </w:r>
            <w:r>
              <w:rPr>
                <w:rFonts w:hint="eastAsia" w:ascii="宋体" w:hAnsi="宋体" w:cs="宋体"/>
                <w:color w:val="auto"/>
                <w:sz w:val="21"/>
                <w:szCs w:val="21"/>
                <w:highlight w:val="none"/>
                <w:lang w:val="en-US" w:eastAsia="zh-CN"/>
              </w:rPr>
              <w:t>厂房及外场市政道路、景观绿化等的监理</w:t>
            </w:r>
            <w:r>
              <w:rPr>
                <w:rFonts w:hint="eastAsia" w:ascii="宋体" w:hAnsi="宋体" w:eastAsia="宋体" w:cs="宋体"/>
                <w:color w:val="auto"/>
                <w:sz w:val="21"/>
                <w:szCs w:val="21"/>
                <w:highlight w:val="none"/>
              </w:rPr>
              <w:t>，建筑面积约为30</w:t>
            </w:r>
            <w:r>
              <w:rPr>
                <w:rFonts w:hint="eastAsia" w:ascii="宋体" w:hAnsi="宋体" w:cs="宋体"/>
                <w:color w:val="auto"/>
                <w:sz w:val="21"/>
                <w:szCs w:val="21"/>
                <w:highlight w:val="none"/>
                <w:lang w:val="en-US" w:eastAsia="zh-CN"/>
              </w:rPr>
              <w:t>217</w:t>
            </w:r>
            <w:r>
              <w:rPr>
                <w:rFonts w:hint="eastAsia" w:ascii="宋体" w:hAnsi="宋体" w:eastAsia="宋体" w:cs="宋体"/>
                <w:color w:val="auto"/>
                <w:sz w:val="21"/>
                <w:szCs w:val="21"/>
                <w:highlight w:val="none"/>
              </w:rPr>
              <w:t>平方米。招标内容包含但不限于本工程施工准备阶段、招投标阶段、施工阶段、保修阶段等监理服务期内的全过程监理：（1）施工阶段监理服务范围内的质量、进度、投资控制管理、安全生产监督等；（2）合同、信息等方面协调管理；（3）施工组织内外协调及招标人交办的与工程相关的事项；（4）缺陷责任期内的监理服务和相关专业技术咨询服务。</w:t>
            </w:r>
          </w:p>
        </w:tc>
      </w:tr>
      <w:tr w14:paraId="4C2E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3099" w:type="dxa"/>
            <w:noWrap w:val="0"/>
            <w:vAlign w:val="center"/>
          </w:tcPr>
          <w:p w14:paraId="6F40C6B8">
            <w:pPr>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投标人资格要求</w:t>
            </w:r>
          </w:p>
        </w:tc>
        <w:tc>
          <w:tcPr>
            <w:tcW w:w="5620" w:type="dxa"/>
            <w:noWrap w:val="0"/>
            <w:vAlign w:val="center"/>
          </w:tcPr>
          <w:p w14:paraId="3DD83448">
            <w:pPr>
              <w:numPr>
                <w:ilvl w:val="0"/>
                <w:numId w:val="1"/>
              </w:numPr>
              <w:adjustRightInd w:val="0"/>
              <w:snapToGrid w:val="0"/>
              <w:spacing w:line="5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投标人须具有建设行政主管部门颁发的监理综合资质或房屋建筑工程监理甲级资质；</w:t>
            </w:r>
          </w:p>
          <w:p w14:paraId="33028AEC">
            <w:pPr>
              <w:adjustRightInd w:val="0"/>
              <w:snapToGrid w:val="0"/>
              <w:spacing w:line="5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2、投标人拟派项目负责人须具备国家注册监理工程师（注册专业为房屋建筑工程）。</w:t>
            </w:r>
          </w:p>
        </w:tc>
      </w:tr>
      <w:tr w14:paraId="05BD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3099" w:type="dxa"/>
            <w:noWrap w:val="0"/>
            <w:vAlign w:val="center"/>
          </w:tcPr>
          <w:p w14:paraId="5DB1F686">
            <w:pPr>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w:t>
            </w:r>
          </w:p>
        </w:tc>
        <w:tc>
          <w:tcPr>
            <w:tcW w:w="5620" w:type="dxa"/>
            <w:noWrap w:val="0"/>
            <w:vAlign w:val="center"/>
          </w:tcPr>
          <w:p w14:paraId="4EAAD26C">
            <w:pPr>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14:paraId="5237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1" w:hRule="atLeast"/>
          <w:jc w:val="center"/>
        </w:trPr>
        <w:tc>
          <w:tcPr>
            <w:tcW w:w="3099" w:type="dxa"/>
            <w:noWrap w:val="0"/>
            <w:vAlign w:val="center"/>
          </w:tcPr>
          <w:p w14:paraId="62C3EAFC">
            <w:pPr>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报名时间、方式</w:t>
            </w:r>
          </w:p>
        </w:tc>
        <w:tc>
          <w:tcPr>
            <w:tcW w:w="5620" w:type="dxa"/>
            <w:noWrap w:val="0"/>
            <w:vAlign w:val="center"/>
          </w:tcPr>
          <w:p w14:paraId="30F7AFD4">
            <w:pPr>
              <w:autoSpaceDE w:val="0"/>
              <w:autoSpaceDN w:val="0"/>
              <w:adjustRightInd w:val="0"/>
              <w:snapToGrid w:val="0"/>
              <w:spacing w:line="50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报名时间：</w:t>
            </w: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26</w:t>
            </w:r>
            <w:r>
              <w:rPr>
                <w:rFonts w:hint="eastAsia" w:ascii="宋体" w:hAnsi="宋体" w:eastAsia="宋体" w:cs="宋体"/>
                <w:color w:val="auto"/>
                <w:kern w:val="0"/>
                <w:sz w:val="21"/>
                <w:szCs w:val="21"/>
                <w:highlight w:val="none"/>
              </w:rPr>
              <w:t>日至202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31</w:t>
            </w:r>
            <w:r>
              <w:rPr>
                <w:rFonts w:hint="eastAsia" w:ascii="宋体" w:hAnsi="宋体" w:eastAsia="宋体" w:cs="宋体"/>
                <w:color w:val="auto"/>
                <w:kern w:val="0"/>
                <w:sz w:val="21"/>
                <w:szCs w:val="21"/>
                <w:highlight w:val="none"/>
              </w:rPr>
              <w:t>日(工作日</w:t>
            </w: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0—17:00)</w:t>
            </w:r>
          </w:p>
          <w:p w14:paraId="7D042FAE">
            <w:pPr>
              <w:autoSpaceDE w:val="0"/>
              <w:autoSpaceDN w:val="0"/>
              <w:adjustRightInd w:val="0"/>
              <w:snapToGrid w:val="0"/>
              <w:spacing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报名方式：现场报名，须携带盖章的《零星工程投标报名表》原件。</w:t>
            </w:r>
          </w:p>
          <w:p w14:paraId="7B6F86BC">
            <w:pPr>
              <w:autoSpaceDE w:val="0"/>
              <w:autoSpaceDN w:val="0"/>
              <w:adjustRightInd w:val="0"/>
              <w:snapToGrid w:val="0"/>
              <w:spacing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现场报名联系人：</w:t>
            </w:r>
            <w:r>
              <w:rPr>
                <w:rFonts w:hint="eastAsia" w:ascii="宋体" w:hAnsi="宋体" w:eastAsia="宋体" w:cs="宋体"/>
                <w:color w:val="auto"/>
                <w:sz w:val="21"/>
                <w:szCs w:val="21"/>
                <w:highlight w:val="none"/>
                <w:lang w:val="en-US" w:eastAsia="zh-CN"/>
              </w:rPr>
              <w:t>叶</w:t>
            </w:r>
            <w:r>
              <w:rPr>
                <w:rFonts w:hint="eastAsia" w:ascii="宋体" w:hAnsi="宋体" w:eastAsia="宋体" w:cs="宋体"/>
                <w:color w:val="auto"/>
                <w:sz w:val="21"/>
                <w:szCs w:val="21"/>
                <w:highlight w:val="none"/>
              </w:rPr>
              <w:t>工，0519-81580819。</w:t>
            </w:r>
          </w:p>
        </w:tc>
      </w:tr>
      <w:tr w14:paraId="5692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99" w:type="dxa"/>
            <w:noWrap w:val="0"/>
            <w:vAlign w:val="center"/>
          </w:tcPr>
          <w:p w14:paraId="7CB0D535">
            <w:pPr>
              <w:autoSpaceDE w:val="0"/>
              <w:autoSpaceDN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报名地址</w:t>
            </w:r>
          </w:p>
        </w:tc>
        <w:tc>
          <w:tcPr>
            <w:tcW w:w="5620" w:type="dxa"/>
            <w:noWrap w:val="0"/>
            <w:vAlign w:val="center"/>
          </w:tcPr>
          <w:p w14:paraId="213D2A08">
            <w:pPr>
              <w:autoSpaceDE w:val="0"/>
              <w:autoSpaceDN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江苏国联佳信项目咨询管理有限公司</w:t>
            </w:r>
            <w:r>
              <w:rPr>
                <w:rFonts w:hint="eastAsia" w:ascii="宋体" w:hAnsi="宋体" w:eastAsia="宋体" w:cs="宋体"/>
                <w:color w:val="auto"/>
                <w:sz w:val="21"/>
                <w:szCs w:val="21"/>
                <w:highlight w:val="none"/>
                <w:lang w:val="en-US" w:eastAsia="zh-CN"/>
              </w:rPr>
              <w:t>代理部</w:t>
            </w:r>
            <w:r>
              <w:rPr>
                <w:rFonts w:hint="eastAsia" w:ascii="宋体" w:hAnsi="宋体" w:eastAsia="宋体" w:cs="宋体"/>
                <w:color w:val="auto"/>
                <w:sz w:val="21"/>
                <w:szCs w:val="21"/>
                <w:highlight w:val="none"/>
                <w:lang w:eastAsia="zh-CN"/>
              </w:rPr>
              <w:t>（常州市新北区太湖中路8号锦湖创新中心A座7楼）</w:t>
            </w:r>
          </w:p>
        </w:tc>
      </w:tr>
      <w:tr w14:paraId="16878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99" w:type="dxa"/>
            <w:noWrap w:val="0"/>
            <w:vAlign w:val="center"/>
          </w:tcPr>
          <w:p w14:paraId="10EA84A6">
            <w:pPr>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开标（投标截止）时间</w:t>
            </w:r>
          </w:p>
        </w:tc>
        <w:tc>
          <w:tcPr>
            <w:tcW w:w="5620" w:type="dxa"/>
            <w:noWrap w:val="0"/>
            <w:vAlign w:val="center"/>
          </w:tcPr>
          <w:p w14:paraId="54301D1B">
            <w:pPr>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年</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月</w:t>
            </w: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日14时00分</w:t>
            </w:r>
          </w:p>
        </w:tc>
      </w:tr>
      <w:tr w14:paraId="2922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99" w:type="dxa"/>
            <w:noWrap w:val="0"/>
            <w:vAlign w:val="center"/>
          </w:tcPr>
          <w:p w14:paraId="27FBA5FF">
            <w:pPr>
              <w:tabs>
                <w:tab w:val="center" w:pos="2022"/>
              </w:tabs>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投标、开标地址</w:t>
            </w:r>
          </w:p>
        </w:tc>
        <w:tc>
          <w:tcPr>
            <w:tcW w:w="5620" w:type="dxa"/>
            <w:noWrap w:val="0"/>
            <w:vAlign w:val="center"/>
          </w:tcPr>
          <w:p w14:paraId="5584F48D">
            <w:pPr>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常州市新北区太湖中路8号锦湖创新中心A座7楼</w:t>
            </w:r>
            <w:r>
              <w:rPr>
                <w:rFonts w:hint="eastAsia" w:ascii="宋体" w:hAnsi="宋体" w:cs="宋体"/>
                <w:color w:val="auto"/>
                <w:sz w:val="21"/>
                <w:szCs w:val="21"/>
                <w:highlight w:val="none"/>
                <w:lang w:val="en-US" w:eastAsia="zh-CN"/>
              </w:rPr>
              <w:t>开标室</w:t>
            </w:r>
          </w:p>
        </w:tc>
      </w:tr>
      <w:tr w14:paraId="330C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99" w:type="dxa"/>
            <w:noWrap w:val="0"/>
            <w:vAlign w:val="center"/>
          </w:tcPr>
          <w:p w14:paraId="06557D40">
            <w:pPr>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联系人、联系电话</w:t>
            </w:r>
          </w:p>
        </w:tc>
        <w:tc>
          <w:tcPr>
            <w:tcW w:w="5620" w:type="dxa"/>
            <w:noWrap w:val="0"/>
            <w:vAlign w:val="center"/>
          </w:tcPr>
          <w:p w14:paraId="1BE56E0A">
            <w:pPr>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叶工，0519-81580819</w:t>
            </w:r>
          </w:p>
        </w:tc>
      </w:tr>
      <w:tr w14:paraId="4CA7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99" w:type="dxa"/>
            <w:noWrap w:val="0"/>
            <w:vAlign w:val="center"/>
          </w:tcPr>
          <w:p w14:paraId="7F65B244">
            <w:pPr>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投诉电话</w:t>
            </w:r>
          </w:p>
        </w:tc>
        <w:tc>
          <w:tcPr>
            <w:tcW w:w="5620" w:type="dxa"/>
            <w:noWrap w:val="0"/>
            <w:vAlign w:val="center"/>
          </w:tcPr>
          <w:p w14:paraId="57BA599E">
            <w:pPr>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rPr>
              <w:t>0519-85113061</w:t>
            </w:r>
          </w:p>
        </w:tc>
      </w:tr>
      <w:tr w14:paraId="4016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099" w:type="dxa"/>
            <w:noWrap w:val="0"/>
            <w:vAlign w:val="center"/>
          </w:tcPr>
          <w:p w14:paraId="1374F755">
            <w:pPr>
              <w:adjustRightInd w:val="0"/>
              <w:snapToGrid w:val="0"/>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5620" w:type="dxa"/>
            <w:noWrap w:val="0"/>
            <w:vAlign w:val="center"/>
          </w:tcPr>
          <w:p w14:paraId="315B3394">
            <w:pPr>
              <w:pStyle w:val="2"/>
              <w:spacing w:after="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r>
    </w:tbl>
    <w:p w14:paraId="0990E966">
      <w:pPr>
        <w:tabs>
          <w:tab w:val="left" w:pos="540"/>
          <w:tab w:val="left" w:pos="720"/>
          <w:tab w:val="left" w:pos="900"/>
          <w:tab w:val="left" w:pos="1080"/>
        </w:tabs>
        <w:spacing w:line="500" w:lineRule="exact"/>
        <w:ind w:right="21"/>
        <w:jc w:val="left"/>
        <w:rPr>
          <w:rFonts w:hint="eastAsia" w:ascii="宋体" w:hAnsi="宋体"/>
          <w:color w:val="auto"/>
          <w:szCs w:val="21"/>
          <w:highlight w:val="none"/>
        </w:rPr>
      </w:pPr>
      <w:r>
        <w:rPr>
          <w:rFonts w:hint="eastAsia" w:ascii="宋体" w:hAnsi="宋体"/>
          <w:color w:val="auto"/>
          <w:szCs w:val="21"/>
          <w:highlight w:val="none"/>
        </w:rPr>
        <w:t xml:space="preserve"> </w:t>
      </w:r>
    </w:p>
    <w:p w14:paraId="529716A3">
      <w:pPr>
        <w:tabs>
          <w:tab w:val="left" w:pos="540"/>
          <w:tab w:val="left" w:pos="720"/>
          <w:tab w:val="left" w:pos="900"/>
          <w:tab w:val="left" w:pos="1080"/>
        </w:tabs>
        <w:spacing w:line="500" w:lineRule="exact"/>
        <w:ind w:right="21"/>
        <w:jc w:val="center"/>
        <w:rPr>
          <w:rFonts w:hint="eastAsia" w:ascii="宋体" w:hAnsi="宋体"/>
          <w:color w:val="auto"/>
          <w:sz w:val="44"/>
          <w:szCs w:val="44"/>
          <w:highlight w:val="none"/>
        </w:rPr>
      </w:pPr>
      <w:r>
        <w:rPr>
          <w:rFonts w:ascii="宋体" w:hAnsi="宋体"/>
          <w:color w:val="auto"/>
          <w:szCs w:val="21"/>
          <w:highlight w:val="none"/>
        </w:rPr>
        <w:br w:type="page"/>
      </w:r>
      <w:r>
        <w:rPr>
          <w:rFonts w:ascii="宋体" w:hAnsi="宋体"/>
          <w:color w:val="auto"/>
          <w:sz w:val="44"/>
          <w:szCs w:val="44"/>
          <w:highlight w:val="none"/>
        </w:rPr>
        <w:t xml:space="preserve">  </w:t>
      </w:r>
      <w:r>
        <w:rPr>
          <w:rFonts w:hint="eastAsia" w:ascii="宋体" w:hAnsi="宋体"/>
          <w:b/>
          <w:color w:val="auto"/>
          <w:sz w:val="44"/>
          <w:szCs w:val="44"/>
          <w:highlight w:val="none"/>
        </w:rPr>
        <w:t>招  标  公  告（</w:t>
      </w:r>
      <w:r>
        <w:rPr>
          <w:rFonts w:hint="eastAsia" w:ascii="宋体" w:hAnsi="宋体"/>
          <w:bCs/>
          <w:color w:val="auto"/>
          <w:sz w:val="44"/>
          <w:szCs w:val="44"/>
          <w:highlight w:val="none"/>
        </w:rPr>
        <w:t>资格后审）</w:t>
      </w:r>
    </w:p>
    <w:p w14:paraId="208729E4">
      <w:pPr>
        <w:pBdr>
          <w:bottom w:val="single" w:color="auto" w:sz="6" w:space="0"/>
        </w:pBdr>
        <w:tabs>
          <w:tab w:val="left" w:pos="540"/>
          <w:tab w:val="left" w:pos="720"/>
          <w:tab w:val="left" w:pos="900"/>
          <w:tab w:val="left" w:pos="1080"/>
        </w:tabs>
        <w:spacing w:before="100" w:beforeAutospacing="1" w:after="100" w:afterAutospacing="1" w:line="500" w:lineRule="exact"/>
        <w:ind w:right="23"/>
        <w:rPr>
          <w:rFonts w:hint="eastAsia" w:ascii="宋体" w:hAnsi="宋体"/>
          <w:color w:val="auto"/>
          <w:szCs w:val="21"/>
          <w:highlight w:val="none"/>
        </w:rPr>
      </w:pPr>
      <w:r>
        <w:rPr>
          <w:rFonts w:hint="eastAsia" w:ascii="宋体" w:hAnsi="宋体"/>
          <w:color w:val="auto"/>
          <w:szCs w:val="21"/>
          <w:highlight w:val="none"/>
        </w:rPr>
        <w:t xml:space="preserve">                                            　　　　          编号：</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p>
    <w:p w14:paraId="39A9E327">
      <w:pPr>
        <w:tabs>
          <w:tab w:val="left" w:pos="540"/>
          <w:tab w:val="left" w:pos="720"/>
          <w:tab w:val="left" w:pos="900"/>
          <w:tab w:val="left" w:pos="1080"/>
        </w:tabs>
        <w:spacing w:line="5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1、服务名称：</w:t>
      </w:r>
      <w:r>
        <w:rPr>
          <w:rFonts w:hint="eastAsia" w:ascii="宋体" w:hAnsi="宋体" w:cs="宋体"/>
          <w:color w:val="auto"/>
          <w:szCs w:val="21"/>
          <w:highlight w:val="none"/>
          <w:lang w:eastAsia="zh-CN"/>
        </w:rPr>
        <w:t>常州空港产业园科技企业加速器(二期）项目监理</w:t>
      </w:r>
    </w:p>
    <w:p w14:paraId="10F3E208">
      <w:pPr>
        <w:tabs>
          <w:tab w:val="left" w:pos="540"/>
          <w:tab w:val="left" w:pos="720"/>
          <w:tab w:val="left" w:pos="900"/>
          <w:tab w:val="left" w:pos="1080"/>
        </w:tabs>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2、服务概况：</w:t>
      </w:r>
    </w:p>
    <w:p w14:paraId="49E76933">
      <w:pPr>
        <w:tabs>
          <w:tab w:val="left" w:pos="540"/>
          <w:tab w:val="left" w:pos="720"/>
          <w:tab w:val="left" w:pos="900"/>
          <w:tab w:val="left" w:pos="1080"/>
        </w:tabs>
        <w:spacing w:line="5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（1）服务地点：</w:t>
      </w:r>
      <w:r>
        <w:rPr>
          <w:rFonts w:hint="eastAsia" w:ascii="宋体" w:hAnsi="宋体" w:cs="宋体"/>
          <w:color w:val="auto"/>
          <w:szCs w:val="21"/>
          <w:highlight w:val="none"/>
          <w:lang w:eastAsia="zh-CN"/>
        </w:rPr>
        <w:t>江苏省常州市新北区罗溪镇黄河西路以南、龙城大道以西</w:t>
      </w:r>
    </w:p>
    <w:p w14:paraId="2FB104DD">
      <w:pPr>
        <w:tabs>
          <w:tab w:val="left" w:pos="540"/>
          <w:tab w:val="left" w:pos="720"/>
          <w:tab w:val="left" w:pos="900"/>
          <w:tab w:val="left" w:pos="1080"/>
        </w:tabs>
        <w:spacing w:line="5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（2）计划服务时间：</w:t>
      </w:r>
      <w:r>
        <w:rPr>
          <w:rFonts w:hint="eastAsia" w:ascii="宋体" w:hAnsi="宋体" w:cs="宋体"/>
          <w:color w:val="auto"/>
          <w:szCs w:val="21"/>
          <w:highlight w:val="none"/>
          <w:lang w:val="en-US" w:eastAsia="zh-CN"/>
        </w:rPr>
        <w:t>2025年5月-2026年3月</w:t>
      </w:r>
    </w:p>
    <w:p w14:paraId="14353447">
      <w:pPr>
        <w:tabs>
          <w:tab w:val="left" w:pos="540"/>
          <w:tab w:val="left" w:pos="720"/>
          <w:tab w:val="left" w:pos="900"/>
          <w:tab w:val="left" w:pos="1080"/>
        </w:tabs>
        <w:spacing w:line="5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（3）招标控制价：总价（含税）：</w:t>
      </w:r>
      <w:r>
        <w:rPr>
          <w:rFonts w:hint="eastAsia" w:ascii="宋体" w:hAnsi="宋体" w:cs="宋体"/>
          <w:color w:val="auto"/>
          <w:szCs w:val="21"/>
          <w:highlight w:val="none"/>
          <w:lang w:val="en-US" w:eastAsia="zh-CN"/>
        </w:rPr>
        <w:t>453255</w:t>
      </w:r>
      <w:r>
        <w:rPr>
          <w:rFonts w:hint="eastAsia" w:ascii="宋体" w:hAnsi="宋体" w:cs="宋体"/>
          <w:color w:val="auto"/>
          <w:szCs w:val="21"/>
          <w:highlight w:val="none"/>
        </w:rPr>
        <w:t>元，总价（不含税）</w:t>
      </w:r>
      <w:r>
        <w:rPr>
          <w:rFonts w:hint="eastAsia" w:ascii="宋体" w:hAnsi="宋体" w:cs="宋体"/>
          <w:color w:val="auto"/>
          <w:sz w:val="21"/>
          <w:szCs w:val="21"/>
          <w:highlight w:val="none"/>
          <w:lang w:val="en-US" w:eastAsia="zh-CN"/>
        </w:rPr>
        <w:t>427599.06</w:t>
      </w:r>
      <w:r>
        <w:rPr>
          <w:rFonts w:hint="eastAsia" w:ascii="宋体" w:hAnsi="宋体" w:cs="宋体"/>
          <w:color w:val="auto"/>
          <w:highlight w:val="none"/>
        </w:rPr>
        <w:t>元，税率6%</w:t>
      </w:r>
    </w:p>
    <w:p w14:paraId="2E413B4E">
      <w:pPr>
        <w:tabs>
          <w:tab w:val="left" w:pos="540"/>
          <w:tab w:val="left" w:pos="720"/>
          <w:tab w:val="left" w:pos="900"/>
          <w:tab w:val="left" w:pos="1080"/>
        </w:tabs>
        <w:spacing w:line="5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（4）服务内容：</w:t>
      </w:r>
      <w:r>
        <w:rPr>
          <w:rFonts w:hint="eastAsia" w:ascii="宋体" w:hAnsi="宋体" w:eastAsia="宋体" w:cs="宋体"/>
          <w:color w:val="auto"/>
          <w:sz w:val="21"/>
          <w:szCs w:val="21"/>
          <w:highlight w:val="none"/>
        </w:rPr>
        <w:t>常州空港产业园科技企业加速器(二期）项目，利用自有土地26388平方米，新建厂房及配套，新增总建筑面积约41815平方米，本次招标为6号</w:t>
      </w:r>
      <w:r>
        <w:rPr>
          <w:rFonts w:hint="eastAsia" w:ascii="宋体" w:hAnsi="宋体" w:cs="宋体"/>
          <w:color w:val="auto"/>
          <w:sz w:val="21"/>
          <w:szCs w:val="21"/>
          <w:highlight w:val="none"/>
          <w:lang w:val="en-US" w:eastAsia="zh-CN"/>
        </w:rPr>
        <w:t>厂房及外场市政道路、景观绿化等的监理</w:t>
      </w:r>
      <w:r>
        <w:rPr>
          <w:rFonts w:hint="eastAsia" w:ascii="宋体" w:hAnsi="宋体" w:eastAsia="宋体" w:cs="宋体"/>
          <w:color w:val="auto"/>
          <w:sz w:val="21"/>
          <w:szCs w:val="21"/>
          <w:highlight w:val="none"/>
        </w:rPr>
        <w:t>，建筑面积约为30</w:t>
      </w:r>
      <w:r>
        <w:rPr>
          <w:rFonts w:hint="eastAsia" w:ascii="宋体" w:hAnsi="宋体" w:cs="宋体"/>
          <w:color w:val="auto"/>
          <w:sz w:val="21"/>
          <w:szCs w:val="21"/>
          <w:highlight w:val="none"/>
          <w:lang w:val="en-US" w:eastAsia="zh-CN"/>
        </w:rPr>
        <w:t>217</w:t>
      </w:r>
      <w:r>
        <w:rPr>
          <w:rFonts w:hint="eastAsia" w:ascii="宋体" w:hAnsi="宋体" w:eastAsia="宋体" w:cs="宋体"/>
          <w:color w:val="auto"/>
          <w:sz w:val="21"/>
          <w:szCs w:val="21"/>
          <w:highlight w:val="none"/>
        </w:rPr>
        <w:t>平方米。招标内容包含但不限于本工程施工准备阶段、招投标阶段、施工阶段、保修阶段等监理服务期内的全过程监理：（1）施工阶段监理服务范围内的质量、进度、投资控制管理、安全生产监督等；（2）合同、信息等方面协调管理；（3）施工组织内外协调及招标人交办的与工程相关的事项；（4）缺陷责任期内的监理服务和相关专业技术咨询服务。</w:t>
      </w:r>
    </w:p>
    <w:p w14:paraId="65D9ECC6">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3、报名企业须满足以下条件：</w:t>
      </w:r>
    </w:p>
    <w:p w14:paraId="221CF852">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（1）必须是独立法人资格；</w:t>
      </w:r>
    </w:p>
    <w:p w14:paraId="484B76F5">
      <w:pPr>
        <w:pStyle w:val="6"/>
        <w:spacing w:line="50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kern w:val="2"/>
          <w:sz w:val="21"/>
          <w:szCs w:val="21"/>
          <w:highlight w:val="none"/>
          <w:lang w:eastAsia="zh-CN" w:bidi="ar-SA"/>
        </w:rPr>
        <w:t>（2）</w:t>
      </w:r>
      <w:r>
        <w:rPr>
          <w:rFonts w:hint="eastAsia" w:ascii="宋体" w:hAnsi="宋体" w:cs="宋体"/>
          <w:color w:val="auto"/>
          <w:sz w:val="21"/>
          <w:szCs w:val="21"/>
          <w:highlight w:val="none"/>
          <w:lang w:eastAsia="zh-CN"/>
        </w:rPr>
        <w:t>报名单位资质类别及等级：</w:t>
      </w:r>
      <w:r>
        <w:rPr>
          <w:rFonts w:hint="eastAsia" w:ascii="宋体" w:hAnsi="宋体" w:cs="宋体"/>
          <w:b/>
          <w:color w:val="auto"/>
          <w:szCs w:val="21"/>
          <w:highlight w:val="none"/>
          <w:lang w:eastAsia="zh-CN"/>
        </w:rPr>
        <w:t>具有建设行政主管部门颁发的监理综合资质或房屋建筑工程监理甲级资质</w:t>
      </w:r>
      <w:r>
        <w:rPr>
          <w:rFonts w:hint="eastAsia" w:ascii="宋体" w:hAnsi="宋体" w:cs="宋体"/>
          <w:color w:val="auto"/>
          <w:sz w:val="21"/>
          <w:szCs w:val="21"/>
          <w:highlight w:val="none"/>
          <w:lang w:eastAsia="zh-CN"/>
        </w:rPr>
        <w:t>；</w:t>
      </w:r>
    </w:p>
    <w:p w14:paraId="1692C727">
      <w:pPr>
        <w:pStyle w:val="6"/>
        <w:spacing w:line="50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kern w:val="2"/>
          <w:sz w:val="21"/>
          <w:szCs w:val="21"/>
          <w:highlight w:val="none"/>
          <w:lang w:eastAsia="zh-CN" w:bidi="ar-SA"/>
        </w:rPr>
        <w:t>（3）</w:t>
      </w:r>
      <w:r>
        <w:rPr>
          <w:rFonts w:hint="eastAsia" w:ascii="宋体" w:hAnsi="宋体" w:cs="宋体"/>
          <w:color w:val="auto"/>
          <w:sz w:val="21"/>
          <w:szCs w:val="21"/>
          <w:highlight w:val="none"/>
          <w:lang w:eastAsia="zh-CN"/>
        </w:rPr>
        <w:t>投标项目负责人要求：</w:t>
      </w:r>
      <w:r>
        <w:rPr>
          <w:rFonts w:hint="eastAsia" w:ascii="宋体" w:hAnsi="宋体" w:cs="宋体"/>
          <w:b/>
          <w:color w:val="auto"/>
          <w:szCs w:val="21"/>
          <w:highlight w:val="none"/>
          <w:lang w:eastAsia="zh-CN"/>
        </w:rPr>
        <w:t>具备国家注册监理工程师（注册专业为房屋建筑工程）。</w:t>
      </w:r>
    </w:p>
    <w:p w14:paraId="76F76F5D">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4、其他报名条件：</w:t>
      </w:r>
    </w:p>
    <w:p w14:paraId="5BB9CAA6">
      <w:pPr>
        <w:widowControl/>
        <w:spacing w:line="5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（1）报名时间：202</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26</w:t>
      </w:r>
      <w:r>
        <w:rPr>
          <w:rFonts w:hint="eastAsia" w:ascii="宋体" w:hAnsi="宋体" w:cs="宋体"/>
          <w:bCs/>
          <w:color w:val="auto"/>
          <w:szCs w:val="21"/>
          <w:highlight w:val="none"/>
        </w:rPr>
        <w:t>日至202</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31</w:t>
      </w:r>
      <w:r>
        <w:rPr>
          <w:rFonts w:hint="eastAsia" w:ascii="宋体" w:hAnsi="宋体" w:cs="宋体"/>
          <w:bCs/>
          <w:color w:val="auto"/>
          <w:szCs w:val="21"/>
          <w:highlight w:val="none"/>
        </w:rPr>
        <w:t>日(工作日</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0</w:t>
      </w:r>
      <w:r>
        <w:rPr>
          <w:rFonts w:hint="eastAsia" w:ascii="宋体" w:hAnsi="宋体" w:cs="宋体"/>
          <w:bCs/>
          <w:color w:val="auto"/>
          <w:szCs w:val="21"/>
          <w:highlight w:val="none"/>
        </w:rPr>
        <w:t>0—17:00)</w:t>
      </w:r>
    </w:p>
    <w:p w14:paraId="4D327A73">
      <w:pPr>
        <w:widowControl/>
        <w:spacing w:line="5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报名方式：现场报名，须提供盖章的《零星工程投标报名表》原件（详见附件</w:t>
      </w:r>
      <w:r>
        <w:rPr>
          <w:rFonts w:hint="eastAsia" w:ascii="宋体" w:hAnsi="宋体" w:cs="宋体"/>
          <w:bCs/>
          <w:color w:val="auto"/>
          <w:szCs w:val="21"/>
          <w:highlight w:val="none"/>
          <w:lang w:val="en-US" w:eastAsia="zh-CN"/>
        </w:rPr>
        <w:t>五</w:t>
      </w:r>
      <w:r>
        <w:rPr>
          <w:rFonts w:hint="eastAsia" w:ascii="宋体" w:hAnsi="宋体" w:cs="宋体"/>
          <w:bCs/>
          <w:color w:val="auto"/>
          <w:szCs w:val="21"/>
          <w:highlight w:val="none"/>
        </w:rPr>
        <w:t>）</w:t>
      </w:r>
    </w:p>
    <w:p w14:paraId="04558C75">
      <w:pPr>
        <w:widowControl/>
        <w:spacing w:line="5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（2）本次招标投标保证金为：人民</w:t>
      </w:r>
      <w:r>
        <w:rPr>
          <w:rFonts w:hint="eastAsia" w:ascii="宋体" w:hAnsi="宋体" w:cs="宋体"/>
          <w:color w:val="auto"/>
          <w:szCs w:val="21"/>
          <w:highlight w:val="none"/>
        </w:rPr>
        <w:t>币</w:t>
      </w:r>
      <w:r>
        <w:rPr>
          <w:rFonts w:hint="eastAsia" w:ascii="宋体" w:hAnsi="宋体" w:cs="宋体"/>
          <w:color w:val="auto"/>
          <w:szCs w:val="21"/>
          <w:highlight w:val="none"/>
          <w:lang w:val="en-US" w:eastAsia="zh-CN"/>
        </w:rPr>
        <w:t>9000</w:t>
      </w:r>
      <w:r>
        <w:rPr>
          <w:rFonts w:hint="eastAsia" w:ascii="宋体" w:hAnsi="宋体" w:cs="宋体"/>
          <w:color w:val="auto"/>
          <w:szCs w:val="21"/>
          <w:highlight w:val="none"/>
        </w:rPr>
        <w:t>元整</w:t>
      </w:r>
      <w:r>
        <w:rPr>
          <w:rFonts w:hint="eastAsia" w:ascii="宋体" w:hAnsi="宋体" w:cs="宋体"/>
          <w:bCs/>
          <w:color w:val="auto"/>
          <w:szCs w:val="21"/>
          <w:highlight w:val="none"/>
        </w:rPr>
        <w:t>（投标保证金于</w:t>
      </w:r>
      <w:r>
        <w:rPr>
          <w:rFonts w:hint="eastAsia" w:ascii="宋体" w:hAnsi="宋体" w:cs="宋体"/>
          <w:color w:val="auto"/>
          <w:szCs w:val="21"/>
          <w:highlight w:val="none"/>
        </w:rPr>
        <w:t>本次投标截止时间前</w:t>
      </w:r>
      <w:r>
        <w:rPr>
          <w:rFonts w:hint="eastAsia" w:ascii="宋体" w:hAnsi="宋体" w:cs="宋体"/>
          <w:bCs/>
          <w:color w:val="auto"/>
          <w:szCs w:val="21"/>
          <w:highlight w:val="none"/>
        </w:rPr>
        <w:t>），投标保证金缴纳详见附件二；</w:t>
      </w:r>
      <w:bookmarkStart w:id="41" w:name="_GoBack"/>
      <w:bookmarkEnd w:id="41"/>
    </w:p>
    <w:p w14:paraId="587916A3">
      <w:pPr>
        <w:widowControl/>
        <w:spacing w:line="500" w:lineRule="exact"/>
        <w:ind w:firstLine="420" w:firstLineChars="200"/>
        <w:jc w:val="left"/>
        <w:rPr>
          <w:rFonts w:hint="eastAsia" w:ascii="宋体" w:hAnsi="宋体" w:cs="宋体"/>
          <w:bCs/>
          <w:color w:val="auto"/>
          <w:szCs w:val="21"/>
          <w:highlight w:val="none"/>
        </w:rPr>
      </w:pPr>
      <w:bookmarkStart w:id="0" w:name="OLE_LINK1"/>
      <w:bookmarkStart w:id="1" w:name="OLE_LINK2"/>
      <w:r>
        <w:rPr>
          <w:rFonts w:hint="eastAsia" w:ascii="宋体" w:hAnsi="宋体" w:cs="宋体"/>
          <w:color w:val="auto"/>
          <w:szCs w:val="21"/>
          <w:highlight w:val="none"/>
        </w:rPr>
        <w:t xml:space="preserve">   </w:t>
      </w:r>
      <w:bookmarkEnd w:id="0"/>
      <w:bookmarkEnd w:id="1"/>
      <w:r>
        <w:rPr>
          <w:rFonts w:hint="eastAsia" w:ascii="宋体" w:hAnsi="宋体" w:cs="宋体"/>
          <w:color w:val="auto"/>
          <w:szCs w:val="21"/>
          <w:highlight w:val="none"/>
        </w:rPr>
        <w:t>（3）</w:t>
      </w:r>
      <w:r>
        <w:rPr>
          <w:rFonts w:hint="eastAsia" w:ascii="宋体" w:hAnsi="宋体" w:cs="宋体"/>
          <w:bCs/>
          <w:color w:val="auto"/>
          <w:szCs w:val="21"/>
          <w:highlight w:val="none"/>
        </w:rPr>
        <w:t>若投标报名单位少于3家，则重新发布招标公告；</w:t>
      </w:r>
    </w:p>
    <w:p w14:paraId="0485927D">
      <w:pPr>
        <w:widowControl/>
        <w:spacing w:line="500" w:lineRule="exact"/>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 xml:space="preserve">   （4）</w:t>
      </w:r>
      <w:r>
        <w:rPr>
          <w:rFonts w:hint="eastAsia" w:ascii="宋体" w:hAnsi="宋体" w:cs="宋体"/>
          <w:bCs/>
          <w:color w:val="auto"/>
          <w:szCs w:val="21"/>
          <w:highlight w:val="none"/>
        </w:rPr>
        <w:t>本次招标不接受联合体投标；</w:t>
      </w:r>
    </w:p>
    <w:p w14:paraId="6B39D878">
      <w:pPr>
        <w:widowControl/>
        <w:spacing w:line="5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   （5）法定代表人为同一个人的两个及两个以上法人，母公司、全资子公司及其控股公司，</w:t>
      </w:r>
      <w:r>
        <w:rPr>
          <w:rFonts w:hint="eastAsia" w:ascii="宋体" w:hAnsi="宋体"/>
          <w:color w:val="auto"/>
          <w:highlight w:val="none"/>
        </w:rPr>
        <w:t>不得参加同一标段投标或者未划分标段的同一招标项目投标</w:t>
      </w:r>
      <w:r>
        <w:rPr>
          <w:rFonts w:hint="eastAsia" w:ascii="宋体" w:hAnsi="宋体" w:cs="宋体"/>
          <w:bCs/>
          <w:color w:val="auto"/>
          <w:szCs w:val="21"/>
          <w:highlight w:val="none"/>
        </w:rPr>
        <w:t>；</w:t>
      </w:r>
    </w:p>
    <w:p w14:paraId="4E47195E">
      <w:pPr>
        <w:widowControl/>
        <w:spacing w:line="5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szCs w:val="21"/>
          <w:highlight w:val="none"/>
        </w:rPr>
        <w:t>（6）</w:t>
      </w:r>
      <w:r>
        <w:rPr>
          <w:rFonts w:hint="eastAsia" w:ascii="宋体" w:hAnsi="宋体" w:cs="宋体"/>
          <w:bCs/>
          <w:color w:val="auto"/>
          <w:szCs w:val="21"/>
          <w:highlight w:val="none"/>
        </w:rPr>
        <w:t>近3年内与常州高铁新城投资建设发展有限公司、常高新集团有限公司及旗下所控股子公司无诉讼关系</w:t>
      </w:r>
      <w:r>
        <w:rPr>
          <w:rFonts w:hint="eastAsia" w:ascii="宋体" w:hAnsi="宋体" w:cs="宋体"/>
          <w:b/>
          <w:bCs/>
          <w:color w:val="auto"/>
          <w:szCs w:val="21"/>
          <w:highlight w:val="none"/>
        </w:rPr>
        <w:t>；</w:t>
      </w:r>
    </w:p>
    <w:p w14:paraId="3A69EAD7">
      <w:pPr>
        <w:widowControl/>
        <w:spacing w:line="500" w:lineRule="exact"/>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 xml:space="preserve">   （7）</w:t>
      </w:r>
      <w:r>
        <w:rPr>
          <w:rFonts w:hint="eastAsia" w:ascii="宋体" w:hAnsi="宋体" w:cs="宋体"/>
          <w:bCs/>
          <w:color w:val="auto"/>
          <w:szCs w:val="21"/>
          <w:highlight w:val="none"/>
        </w:rPr>
        <w:t>严禁伪造虚假文件、原件和围标、串标等违法行为，一旦发现将依法严惩；</w:t>
      </w:r>
    </w:p>
    <w:p w14:paraId="11B10D3E">
      <w:pPr>
        <w:widowControl/>
        <w:wordWrap w:val="0"/>
        <w:spacing w:line="5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   （8）</w:t>
      </w:r>
      <w:r>
        <w:rPr>
          <w:rFonts w:hint="eastAsia" w:ascii="宋体" w:hAnsi="宋体" w:cs="宋体"/>
          <w:color w:val="auto"/>
          <w:szCs w:val="21"/>
          <w:highlight w:val="none"/>
        </w:rPr>
        <w:t>未被“信用中国”网站（www.creditchina.gov.cn）、信用江苏(</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"http://credit.jiangsu.gov.cn/" </w:instrText>
      </w:r>
      <w:r>
        <w:rPr>
          <w:rFonts w:hint="eastAsia" w:ascii="宋体" w:hAnsi="宋体" w:cs="宋体"/>
          <w:color w:val="auto"/>
          <w:highlight w:val="none"/>
        </w:rPr>
        <w:fldChar w:fldCharType="separate"/>
      </w:r>
      <w:r>
        <w:rPr>
          <w:rFonts w:hint="eastAsia" w:ascii="宋体" w:hAnsi="宋体" w:cs="宋体"/>
          <w:color w:val="auto"/>
          <w:szCs w:val="21"/>
          <w:highlight w:val="none"/>
        </w:rPr>
        <w:t>http://credit.jiangsu.gov.cn/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)列入失信被执行人、重大税收违法案件当事人名单、政府采购严重失信行为记录名单。</w:t>
      </w:r>
    </w:p>
    <w:p w14:paraId="7FE415FE">
      <w:pPr>
        <w:pStyle w:val="6"/>
        <w:spacing w:line="500" w:lineRule="exact"/>
        <w:ind w:firstLine="420" w:firstLineChars="200"/>
        <w:rPr>
          <w:rFonts w:hint="eastAsia" w:ascii="宋体" w:hAnsi="宋体" w:cs="宋体"/>
          <w:color w:val="auto"/>
          <w:kern w:val="2"/>
          <w:sz w:val="21"/>
          <w:szCs w:val="21"/>
          <w:highlight w:val="none"/>
          <w:lang w:eastAsia="zh-CN" w:bidi="ar-SA"/>
        </w:rPr>
      </w:pPr>
      <w:r>
        <w:rPr>
          <w:rFonts w:hint="eastAsia" w:ascii="宋体" w:hAnsi="宋体" w:cs="宋体"/>
          <w:color w:val="auto"/>
          <w:kern w:val="2"/>
          <w:sz w:val="21"/>
          <w:szCs w:val="21"/>
          <w:highlight w:val="none"/>
          <w:lang w:eastAsia="zh-CN" w:bidi="ar-SA"/>
        </w:rPr>
        <w:t>5、资格审查需提供的资料</w:t>
      </w:r>
    </w:p>
    <w:p w14:paraId="665414C5">
      <w:pPr>
        <w:pStyle w:val="7"/>
        <w:adjustRightInd w:val="0"/>
        <w:snapToGrid w:val="0"/>
        <w:spacing w:line="500" w:lineRule="exact"/>
        <w:ind w:firstLine="420" w:firstLineChars="200"/>
        <w:rPr>
          <w:rFonts w:hint="eastAsia" w:ascii="宋体" w:hAnsi="宋体" w:cs="宋体"/>
          <w:color w:val="auto"/>
          <w:highlight w:val="none"/>
        </w:rPr>
      </w:pPr>
      <w:r>
        <w:rPr>
          <w:rFonts w:hint="eastAsia" w:ascii="宋体" w:hAnsi="宋体" w:cs="宋体"/>
          <w:color w:val="auto"/>
          <w:highlight w:val="none"/>
        </w:rPr>
        <w:t>（1）企业营业执照（副本）；</w:t>
      </w:r>
    </w:p>
    <w:p w14:paraId="54FABE55">
      <w:pPr>
        <w:pStyle w:val="7"/>
        <w:adjustRightInd w:val="0"/>
        <w:snapToGrid w:val="0"/>
        <w:spacing w:line="500" w:lineRule="exact"/>
        <w:ind w:firstLine="420" w:firstLineChars="200"/>
        <w:rPr>
          <w:rFonts w:hint="eastAsia" w:ascii="宋体" w:hAnsi="宋体" w:cs="宋体"/>
          <w:color w:val="auto"/>
          <w:highlight w:val="none"/>
        </w:rPr>
      </w:pPr>
      <w:r>
        <w:rPr>
          <w:rFonts w:hint="eastAsia" w:ascii="宋体" w:hAnsi="宋体" w:cs="宋体"/>
          <w:color w:val="auto"/>
          <w:highlight w:val="none"/>
        </w:rPr>
        <w:t>（2）投标保证金缴纳凭证；</w:t>
      </w:r>
    </w:p>
    <w:p w14:paraId="29350E28">
      <w:pPr>
        <w:pStyle w:val="7"/>
        <w:adjustRightInd w:val="0"/>
        <w:snapToGrid w:val="0"/>
        <w:spacing w:line="500" w:lineRule="exact"/>
        <w:ind w:firstLine="420" w:firstLineChars="200"/>
        <w:rPr>
          <w:rFonts w:hint="eastAsia" w:ascii="宋体" w:hAnsi="宋体" w:cs="宋体"/>
          <w:color w:val="auto"/>
          <w:highlight w:val="none"/>
        </w:rPr>
      </w:pPr>
      <w:r>
        <w:rPr>
          <w:rFonts w:hint="eastAsia" w:ascii="宋体" w:hAnsi="宋体" w:cs="宋体"/>
          <w:color w:val="auto"/>
          <w:highlight w:val="none"/>
        </w:rPr>
        <w:t>（3）企业法定代表人身份证明，企业法定代表人授权委托书及委托代理人身份证明（企业法定代表人办理招投标事宜可不提供授权委托书及代理人身份证明）；</w:t>
      </w:r>
    </w:p>
    <w:p w14:paraId="1E726DDF">
      <w:pPr>
        <w:pStyle w:val="7"/>
        <w:adjustRightInd w:val="0"/>
        <w:snapToGrid w:val="0"/>
        <w:spacing w:line="500" w:lineRule="exact"/>
        <w:ind w:firstLine="420" w:firstLineChars="200"/>
        <w:rPr>
          <w:rFonts w:hint="eastAsia" w:ascii="宋体" w:hAnsi="宋体" w:cs="宋体"/>
          <w:color w:val="auto"/>
          <w:highlight w:val="none"/>
        </w:rPr>
      </w:pPr>
      <w:r>
        <w:rPr>
          <w:rFonts w:hint="eastAsia" w:ascii="宋体" w:hAnsi="宋体" w:cs="宋体"/>
          <w:color w:val="auto"/>
          <w:highlight w:val="none"/>
        </w:rPr>
        <w:t>（4）投标项目负责人及委托代理人须提供社保机构出具的投标人为其缴纳社会基本养老保险的缴纳凭证原件（加盖社保中心章或社保中心参保缴费证明电子专用章，非社保手册），缴纳时间为202</w:t>
      </w:r>
      <w:r>
        <w:rPr>
          <w:rFonts w:hint="eastAsia" w:ascii="宋体" w:hAnsi="宋体" w:cs="宋体"/>
          <w:color w:val="auto"/>
          <w:highlight w:val="none"/>
          <w:lang w:val="en-US" w:eastAsia="zh-CN"/>
        </w:rPr>
        <w:t>4</w:t>
      </w:r>
      <w:r>
        <w:rPr>
          <w:rFonts w:hint="eastAsia" w:ascii="宋体" w:hAnsi="宋体" w:cs="宋体"/>
          <w:color w:val="auto"/>
          <w:highlight w:val="none"/>
        </w:rPr>
        <w:t>年</w:t>
      </w:r>
      <w:r>
        <w:rPr>
          <w:rFonts w:hint="eastAsia" w:ascii="宋体" w:hAnsi="宋体" w:cs="宋体"/>
          <w:color w:val="auto"/>
          <w:highlight w:val="none"/>
          <w:lang w:val="en-US" w:eastAsia="zh-CN"/>
        </w:rPr>
        <w:t>12</w:t>
      </w:r>
      <w:r>
        <w:rPr>
          <w:rFonts w:hint="eastAsia" w:ascii="宋体" w:hAnsi="宋体" w:cs="宋体"/>
          <w:color w:val="auto"/>
          <w:highlight w:val="none"/>
        </w:rPr>
        <w:t>月至202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2</w:t>
      </w:r>
      <w:r>
        <w:rPr>
          <w:rFonts w:hint="eastAsia" w:ascii="宋体" w:hAnsi="宋体" w:cs="宋体"/>
          <w:color w:val="auto"/>
          <w:highlight w:val="none"/>
        </w:rPr>
        <w:t>月连续3个月。（如投标项目负责人或委托代理人为企业法定代表人的，则可不提供社保证明）；</w:t>
      </w:r>
    </w:p>
    <w:p w14:paraId="3CD1E95D">
      <w:pPr>
        <w:pStyle w:val="7"/>
        <w:adjustRightInd w:val="0"/>
        <w:snapToGrid w:val="0"/>
        <w:spacing w:line="500" w:lineRule="exact"/>
        <w:ind w:firstLine="420" w:firstLineChars="200"/>
        <w:rPr>
          <w:rFonts w:ascii="宋体" w:hAnsi="宋体" w:cs="宋体"/>
          <w:color w:val="auto"/>
          <w:highlight w:val="none"/>
        </w:rPr>
      </w:pPr>
      <w:r>
        <w:rPr>
          <w:rFonts w:hint="eastAsia" w:ascii="宋体" w:hAnsi="宋体" w:cs="宋体"/>
          <w:color w:val="auto"/>
          <w:highlight w:val="none"/>
        </w:rPr>
        <w:t>（5）投标</w:t>
      </w:r>
      <w:r>
        <w:rPr>
          <w:rFonts w:hint="eastAsia" w:ascii="宋体" w:hAnsi="宋体" w:cs="宋体"/>
          <w:color w:val="auto"/>
          <w:highlight w:val="none"/>
          <w:lang w:val="en-US" w:eastAsia="zh-CN"/>
        </w:rPr>
        <w:t>人拟派总监理工程师</w:t>
      </w:r>
      <w:r>
        <w:rPr>
          <w:rFonts w:hint="eastAsia" w:ascii="宋体" w:hAnsi="宋体" w:cs="宋体"/>
          <w:color w:val="auto"/>
          <w:highlight w:val="none"/>
        </w:rPr>
        <w:t>注册证书</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第二代居民身份证</w:t>
      </w:r>
      <w:r>
        <w:rPr>
          <w:rFonts w:hint="eastAsia" w:ascii="宋体" w:hAnsi="宋体" w:cs="宋体"/>
          <w:color w:val="auto"/>
          <w:highlight w:val="none"/>
        </w:rPr>
        <w:t>；</w:t>
      </w:r>
    </w:p>
    <w:p w14:paraId="093420EF">
      <w:pPr>
        <w:pStyle w:val="7"/>
        <w:adjustRightInd w:val="0"/>
        <w:snapToGrid w:val="0"/>
        <w:spacing w:line="500" w:lineRule="exact"/>
        <w:ind w:firstLine="420" w:firstLineChars="200"/>
        <w:rPr>
          <w:rFonts w:hint="eastAsia" w:ascii="宋体" w:hAnsi="宋体"/>
          <w:b/>
          <w:color w:val="auto"/>
          <w:szCs w:val="21"/>
          <w:highlight w:val="none"/>
        </w:rPr>
      </w:pPr>
      <w:r>
        <w:rPr>
          <w:rFonts w:hint="eastAsia" w:ascii="宋体" w:hAnsi="宋体" w:cs="宋体"/>
          <w:color w:val="auto"/>
          <w:highlight w:val="none"/>
        </w:rPr>
        <w:t>（6）</w:t>
      </w:r>
      <w:r>
        <w:rPr>
          <w:rFonts w:hint="eastAsia" w:ascii="宋体" w:hAnsi="宋体" w:cs="宋体"/>
          <w:bCs/>
          <w:color w:val="auto"/>
          <w:szCs w:val="21"/>
          <w:highlight w:val="none"/>
        </w:rPr>
        <w:t>项目情况及拟投入项目监理部人员承诺书。（详见附件三）</w:t>
      </w:r>
      <w:r>
        <w:rPr>
          <w:rFonts w:hint="eastAsia" w:ascii="宋体" w:hAnsi="宋体" w:cs="宋体"/>
          <w:color w:val="auto"/>
          <w:highlight w:val="none"/>
        </w:rPr>
        <w:t>。</w:t>
      </w:r>
    </w:p>
    <w:p w14:paraId="4EBF4E82">
      <w:pPr>
        <w:widowControl/>
        <w:adjustRightInd w:val="0"/>
        <w:snapToGrid w:val="0"/>
        <w:spacing w:line="500" w:lineRule="exact"/>
        <w:ind w:firstLine="420" w:firstLineChars="200"/>
        <w:jc w:val="left"/>
        <w:rPr>
          <w:rFonts w:hint="eastAsia"/>
          <w:color w:val="auto"/>
          <w:highlight w:val="none"/>
        </w:rPr>
      </w:pPr>
      <w:r>
        <w:rPr>
          <w:rFonts w:hint="eastAsia" w:ascii="宋体" w:hAnsi="宋体" w:cs="宋体"/>
          <w:bCs/>
          <w:color w:val="auto"/>
          <w:szCs w:val="21"/>
          <w:highlight w:val="none"/>
        </w:rPr>
        <w:t>提醒：以上所有资料务必以复印件加盖公章的形式放在投标文件中。投标人的法定代表人（或其委托代理人）须携带身份证明文件于投标截止时间前到达开标现场并签到，以证明其出席。未按以上要求，其投标文件将作无效投标予以否决。</w:t>
      </w:r>
    </w:p>
    <w:p w14:paraId="4036C34D">
      <w:pPr>
        <w:pStyle w:val="6"/>
        <w:spacing w:line="500" w:lineRule="exact"/>
        <w:ind w:firstLine="420" w:firstLineChars="200"/>
        <w:rPr>
          <w:rFonts w:hint="eastAsia" w:ascii="宋体" w:hAnsi="宋体" w:cs="宋体"/>
          <w:b/>
          <w:bCs/>
          <w:color w:val="auto"/>
          <w:sz w:val="21"/>
          <w:szCs w:val="21"/>
          <w:highlight w:val="none"/>
          <w:lang w:eastAsia="zh-CN"/>
        </w:rPr>
      </w:pPr>
      <w:r>
        <w:rPr>
          <w:rFonts w:hint="eastAsia" w:ascii="宋体" w:hAnsi="宋体" w:cs="宋体"/>
          <w:bCs/>
          <w:color w:val="auto"/>
          <w:sz w:val="21"/>
          <w:szCs w:val="21"/>
          <w:highlight w:val="none"/>
          <w:lang w:eastAsia="zh-CN"/>
        </w:rPr>
        <w:t>6、</w:t>
      </w:r>
      <w:r>
        <w:rPr>
          <w:rFonts w:hint="eastAsia" w:ascii="宋体" w:hAnsi="宋体" w:cs="宋体"/>
          <w:b/>
          <w:bCs/>
          <w:color w:val="auto"/>
          <w:sz w:val="21"/>
          <w:szCs w:val="21"/>
          <w:highlight w:val="none"/>
          <w:lang w:eastAsia="zh-CN"/>
        </w:rPr>
        <w:t>开标时间及地点：</w:t>
      </w:r>
    </w:p>
    <w:p w14:paraId="1AD762B6">
      <w:pPr>
        <w:pStyle w:val="7"/>
        <w:adjustRightInd w:val="0"/>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（1）时间：</w:t>
      </w:r>
      <w:r>
        <w:rPr>
          <w:rFonts w:hint="eastAsia" w:ascii="宋体" w:hAnsi="宋体"/>
          <w:color w:val="auto"/>
          <w:kern w:val="0"/>
          <w:szCs w:val="21"/>
          <w:highlight w:val="none"/>
        </w:rPr>
        <w:t>202</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年</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月</w:t>
      </w:r>
      <w:r>
        <w:rPr>
          <w:rFonts w:hint="eastAsia" w:ascii="宋体" w:hAnsi="宋体"/>
          <w:color w:val="auto"/>
          <w:kern w:val="0"/>
          <w:szCs w:val="21"/>
          <w:highlight w:val="none"/>
          <w:lang w:val="en-US" w:eastAsia="zh-CN"/>
        </w:rPr>
        <w:t>9</w:t>
      </w:r>
      <w:r>
        <w:rPr>
          <w:rFonts w:hint="eastAsia" w:ascii="宋体" w:hAnsi="宋体"/>
          <w:color w:val="auto"/>
          <w:kern w:val="0"/>
          <w:szCs w:val="21"/>
          <w:highlight w:val="none"/>
        </w:rPr>
        <w:t>日</w:t>
      </w:r>
      <w:r>
        <w:rPr>
          <w:rFonts w:ascii="宋体" w:hAnsi="宋体"/>
          <w:color w:val="auto"/>
          <w:kern w:val="0"/>
          <w:szCs w:val="21"/>
          <w:highlight w:val="none"/>
        </w:rPr>
        <w:t>1</w:t>
      </w:r>
      <w:r>
        <w:rPr>
          <w:rFonts w:hint="eastAsia" w:ascii="宋体" w:hAnsi="宋体"/>
          <w:color w:val="auto"/>
          <w:kern w:val="0"/>
          <w:szCs w:val="21"/>
          <w:highlight w:val="none"/>
        </w:rPr>
        <w:t>4时</w:t>
      </w:r>
      <w:r>
        <w:rPr>
          <w:rFonts w:ascii="宋体" w:hAnsi="宋体"/>
          <w:color w:val="auto"/>
          <w:kern w:val="0"/>
          <w:szCs w:val="21"/>
          <w:highlight w:val="none"/>
        </w:rPr>
        <w:t>00</w:t>
      </w:r>
      <w:r>
        <w:rPr>
          <w:rFonts w:hint="eastAsia" w:ascii="宋体" w:hAnsi="宋体"/>
          <w:color w:val="auto"/>
          <w:kern w:val="0"/>
          <w:szCs w:val="21"/>
          <w:highlight w:val="none"/>
        </w:rPr>
        <w:t>分</w:t>
      </w:r>
    </w:p>
    <w:p w14:paraId="78225637">
      <w:pPr>
        <w:pStyle w:val="7"/>
        <w:adjustRightInd w:val="0"/>
        <w:snapToGrid w:val="0"/>
        <w:spacing w:line="5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（2）地点：</w:t>
      </w:r>
      <w:r>
        <w:rPr>
          <w:rFonts w:hint="eastAsia" w:ascii="宋体" w:hAnsi="宋体" w:eastAsia="宋体" w:cs="宋体"/>
          <w:color w:val="auto"/>
          <w:sz w:val="21"/>
          <w:szCs w:val="21"/>
          <w:highlight w:val="none"/>
          <w:lang w:eastAsia="zh-CN"/>
        </w:rPr>
        <w:t>常州市新北区太湖中路8号锦湖创新中心A座7楼</w:t>
      </w:r>
      <w:r>
        <w:rPr>
          <w:rFonts w:hint="eastAsia" w:ascii="宋体" w:hAnsi="宋体" w:cs="宋体"/>
          <w:color w:val="auto"/>
          <w:sz w:val="21"/>
          <w:szCs w:val="21"/>
          <w:highlight w:val="none"/>
          <w:lang w:val="en-US" w:eastAsia="zh-CN"/>
        </w:rPr>
        <w:t>开标室</w:t>
      </w:r>
    </w:p>
    <w:p w14:paraId="6B98286E">
      <w:pPr>
        <w:pStyle w:val="8"/>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7、任何不符合招标公告（包括附件）要求的情形均视为资格审查不合格。</w:t>
      </w:r>
    </w:p>
    <w:p w14:paraId="2001296A">
      <w:pPr>
        <w:pStyle w:val="6"/>
        <w:spacing w:line="500" w:lineRule="exact"/>
        <w:ind w:firstLine="420" w:firstLineChars="200"/>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8、</w:t>
      </w:r>
      <w:r>
        <w:rPr>
          <w:rFonts w:hint="eastAsia" w:ascii="宋体" w:hAnsi="宋体" w:cs="宋体"/>
          <w:color w:val="auto"/>
          <w:kern w:val="2"/>
          <w:sz w:val="21"/>
          <w:szCs w:val="21"/>
          <w:highlight w:val="none"/>
          <w:lang w:eastAsia="zh-CN"/>
        </w:rPr>
        <w:t>本次招标工程的评标办法：</w:t>
      </w:r>
      <w:r>
        <w:rPr>
          <w:rFonts w:hint="eastAsia" w:ascii="宋体" w:hAnsi="宋体" w:cs="宋体"/>
          <w:color w:val="auto"/>
          <w:sz w:val="21"/>
          <w:szCs w:val="21"/>
          <w:highlight w:val="none"/>
          <w:lang w:eastAsia="zh-CN"/>
        </w:rPr>
        <w:t>综合评分法（详见附件一）</w:t>
      </w:r>
    </w:p>
    <w:p w14:paraId="4BE9ABF6">
      <w:pPr>
        <w:pStyle w:val="7"/>
        <w:adjustRightInd w:val="0"/>
        <w:snapToGrid w:val="0"/>
        <w:spacing w:line="500" w:lineRule="exact"/>
        <w:ind w:firstLine="420" w:firstLineChars="200"/>
        <w:rPr>
          <w:rFonts w:cs="宋体"/>
          <w:color w:val="auto"/>
          <w:szCs w:val="21"/>
          <w:highlight w:val="none"/>
          <w:u w:val="single"/>
        </w:rPr>
      </w:pPr>
      <w:r>
        <w:rPr>
          <w:rFonts w:cs="宋体"/>
          <w:color w:val="auto"/>
          <w:szCs w:val="21"/>
          <w:highlight w:val="none"/>
        </w:rPr>
        <w:t>9</w:t>
      </w:r>
      <w:r>
        <w:rPr>
          <w:rFonts w:hint="eastAsia" w:cs="宋体"/>
          <w:color w:val="auto"/>
          <w:szCs w:val="21"/>
          <w:highlight w:val="none"/>
        </w:rPr>
        <w:t>、投标人对招标公告及文件如有异议请联系招标人或招标代理机构。异议联系人：</w:t>
      </w:r>
      <w:r>
        <w:rPr>
          <w:rFonts w:hint="eastAsia" w:cs="宋体"/>
          <w:color w:val="auto"/>
          <w:szCs w:val="21"/>
          <w:highlight w:val="none"/>
          <w:u w:val="single"/>
          <w:lang w:val="en-US" w:eastAsia="zh-CN"/>
        </w:rPr>
        <w:t>蒋工</w:t>
      </w:r>
      <w:r>
        <w:rPr>
          <w:rFonts w:hint="eastAsia" w:cs="宋体"/>
          <w:color w:val="auto"/>
          <w:szCs w:val="21"/>
          <w:highlight w:val="none"/>
          <w:u w:val="none"/>
          <w:lang w:val="en-US" w:eastAsia="zh-CN"/>
        </w:rPr>
        <w:t>，</w:t>
      </w:r>
      <w:r>
        <w:rPr>
          <w:rFonts w:hint="eastAsia" w:cs="宋体"/>
          <w:color w:val="auto"/>
          <w:szCs w:val="21"/>
          <w:highlight w:val="none"/>
        </w:rPr>
        <w:t>联系电话：</w:t>
      </w:r>
      <w:r>
        <w:rPr>
          <w:rFonts w:hint="eastAsia" w:ascii="宋体" w:hAnsi="宋体" w:eastAsia="宋体" w:cs="宋体"/>
          <w:color w:val="auto"/>
          <w:kern w:val="0"/>
          <w:szCs w:val="21"/>
          <w:highlight w:val="none"/>
          <w:u w:val="single"/>
          <w:lang w:val="en-US" w:eastAsia="zh-CN"/>
        </w:rPr>
        <w:t>0519-85177236</w:t>
      </w:r>
      <w:r>
        <w:rPr>
          <w:rFonts w:hint="eastAsia" w:cs="宋体"/>
          <w:color w:val="auto"/>
          <w:szCs w:val="21"/>
          <w:highlight w:val="none"/>
        </w:rPr>
        <w:t>；</w:t>
      </w:r>
      <w:r>
        <w:rPr>
          <w:rFonts w:hint="eastAsia" w:ascii="宋体" w:hAnsi="宋体" w:cs="宋体"/>
          <w:color w:val="auto"/>
          <w:szCs w:val="21"/>
          <w:highlight w:val="none"/>
        </w:rPr>
        <w:t>投诉电话：</w:t>
      </w:r>
      <w:r>
        <w:rPr>
          <w:rFonts w:hint="eastAsia" w:ascii="宋体" w:hAnsi="宋体" w:cs="宋体"/>
          <w:color w:val="auto"/>
          <w:kern w:val="0"/>
          <w:szCs w:val="21"/>
          <w:highlight w:val="none"/>
          <w:u w:val="single"/>
          <w:lang w:val="en-US" w:eastAsia="zh-CN"/>
        </w:rPr>
        <w:t>0519-85113061</w:t>
      </w:r>
      <w:r>
        <w:rPr>
          <w:rFonts w:hint="eastAsia" w:ascii="宋体" w:hAnsi="宋体" w:cs="宋体"/>
          <w:color w:val="auto"/>
          <w:szCs w:val="21"/>
          <w:highlight w:val="none"/>
          <w:lang w:eastAsia="zh-CN"/>
        </w:rPr>
        <w:t>，</w:t>
      </w:r>
      <w:r>
        <w:rPr>
          <w:rFonts w:hint="eastAsia" w:cs="宋体"/>
          <w:color w:val="auto"/>
          <w:szCs w:val="21"/>
          <w:highlight w:val="none"/>
        </w:rPr>
        <w:t>联系地址：</w:t>
      </w:r>
      <w:r>
        <w:rPr>
          <w:rFonts w:hint="eastAsia" w:cs="宋体"/>
          <w:color w:val="auto"/>
          <w:szCs w:val="21"/>
          <w:highlight w:val="none"/>
          <w:u w:val="single"/>
        </w:rPr>
        <w:t>常州市新北区</w:t>
      </w:r>
      <w:r>
        <w:rPr>
          <w:rFonts w:hint="eastAsia" w:cs="宋体"/>
          <w:color w:val="auto"/>
          <w:szCs w:val="21"/>
          <w:highlight w:val="none"/>
        </w:rPr>
        <w:t>；招标代理联系电话：</w:t>
      </w:r>
      <w:r>
        <w:rPr>
          <w:rFonts w:cs="宋体"/>
          <w:color w:val="auto"/>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0519-81580819 </w:t>
      </w:r>
      <w:r>
        <w:rPr>
          <w:rFonts w:hint="eastAsia" w:cs="宋体"/>
          <w:color w:val="auto"/>
          <w:szCs w:val="21"/>
          <w:highlight w:val="none"/>
        </w:rPr>
        <w:t>；联系地址：</w:t>
      </w:r>
      <w:r>
        <w:rPr>
          <w:rFonts w:hint="eastAsia" w:cs="宋体"/>
          <w:color w:val="auto"/>
          <w:szCs w:val="21"/>
          <w:highlight w:val="none"/>
          <w:u w:val="single"/>
        </w:rPr>
        <w:t>常州市新北区太湖中路8号锦湖创新中心A座7楼</w:t>
      </w:r>
      <w:r>
        <w:rPr>
          <w:rFonts w:hint="eastAsia" w:cs="宋体"/>
          <w:color w:val="auto"/>
          <w:szCs w:val="21"/>
          <w:highlight w:val="none"/>
        </w:rPr>
        <w:t>。</w:t>
      </w:r>
    </w:p>
    <w:p w14:paraId="68C73406">
      <w:pPr>
        <w:pStyle w:val="7"/>
        <w:adjustRightInd w:val="0"/>
        <w:snapToGrid w:val="0"/>
        <w:spacing w:line="500" w:lineRule="exact"/>
        <w:ind w:firstLine="420" w:firstLineChars="200"/>
        <w:rPr>
          <w:rFonts w:cs="宋体"/>
          <w:color w:val="auto"/>
          <w:szCs w:val="21"/>
          <w:highlight w:val="none"/>
          <w:u w:val="single"/>
        </w:rPr>
      </w:pPr>
    </w:p>
    <w:p w14:paraId="7E4CB981">
      <w:pPr>
        <w:pStyle w:val="7"/>
        <w:adjustRightInd w:val="0"/>
        <w:snapToGrid w:val="0"/>
        <w:spacing w:line="500" w:lineRule="exact"/>
        <w:ind w:firstLine="420" w:firstLineChars="200"/>
        <w:rPr>
          <w:rFonts w:cs="宋体"/>
          <w:color w:val="auto"/>
          <w:szCs w:val="21"/>
          <w:highlight w:val="none"/>
          <w:u w:val="single"/>
        </w:rPr>
      </w:pPr>
    </w:p>
    <w:p w14:paraId="61A24322">
      <w:pPr>
        <w:pStyle w:val="7"/>
        <w:adjustRightInd w:val="0"/>
        <w:snapToGrid w:val="0"/>
        <w:spacing w:line="500" w:lineRule="exact"/>
        <w:ind w:firstLine="420" w:firstLineChars="200"/>
        <w:rPr>
          <w:rFonts w:ascii="宋体" w:hAnsi="宋体" w:cs="宋体"/>
          <w:color w:val="auto"/>
          <w:szCs w:val="21"/>
          <w:highlight w:val="none"/>
        </w:rPr>
      </w:pPr>
    </w:p>
    <w:p w14:paraId="53C4A23C">
      <w:pPr>
        <w:pStyle w:val="8"/>
        <w:spacing w:line="500" w:lineRule="exact"/>
        <w:ind w:firstLine="480" w:firstLineChars="200"/>
        <w:rPr>
          <w:rFonts w:hint="eastAsia" w:ascii="宋体" w:hAnsi="宋体" w:cs="宋体"/>
          <w:b/>
          <w:bCs/>
          <w:color w:val="auto"/>
          <w:szCs w:val="21"/>
          <w:highlight w:val="none"/>
        </w:rPr>
      </w:pPr>
    </w:p>
    <w:p w14:paraId="2AA51831">
      <w:pPr>
        <w:tabs>
          <w:tab w:val="left" w:pos="540"/>
          <w:tab w:val="left" w:pos="720"/>
          <w:tab w:val="left" w:pos="900"/>
          <w:tab w:val="left" w:pos="1080"/>
        </w:tabs>
        <w:spacing w:line="50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招标人：</w:t>
      </w:r>
      <w:r>
        <w:rPr>
          <w:rFonts w:hint="eastAsia" w:ascii="宋体" w:hAnsi="宋体"/>
          <w:color w:val="auto"/>
          <w:kern w:val="0"/>
          <w:szCs w:val="21"/>
          <w:highlight w:val="none"/>
          <w:lang w:eastAsia="zh-CN"/>
        </w:rPr>
        <w:t>常州新航动力装备开发有限公司</w:t>
      </w:r>
    </w:p>
    <w:p w14:paraId="217D1C28">
      <w:pPr>
        <w:tabs>
          <w:tab w:val="left" w:pos="540"/>
          <w:tab w:val="left" w:pos="720"/>
          <w:tab w:val="left" w:pos="900"/>
          <w:tab w:val="left" w:pos="1080"/>
        </w:tabs>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联系人：</w:t>
      </w:r>
      <w:r>
        <w:rPr>
          <w:rFonts w:hint="eastAsia" w:ascii="宋体" w:hAnsi="宋体" w:cs="宋体"/>
          <w:color w:val="auto"/>
          <w:kern w:val="0"/>
          <w:szCs w:val="21"/>
          <w:highlight w:val="none"/>
          <w:lang w:val="en-US" w:eastAsia="zh-CN"/>
        </w:rPr>
        <w:t>冯</w:t>
      </w:r>
      <w:r>
        <w:rPr>
          <w:rFonts w:hint="eastAsia" w:ascii="宋体" w:hAnsi="宋体" w:cs="宋体"/>
          <w:color w:val="auto"/>
          <w:kern w:val="0"/>
          <w:szCs w:val="21"/>
          <w:highlight w:val="none"/>
        </w:rPr>
        <w:t>工</w:t>
      </w:r>
    </w:p>
    <w:p w14:paraId="1657BEA3">
      <w:pPr>
        <w:tabs>
          <w:tab w:val="left" w:pos="540"/>
          <w:tab w:val="left" w:pos="720"/>
          <w:tab w:val="left" w:pos="900"/>
          <w:tab w:val="left" w:pos="1080"/>
        </w:tabs>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联系电话：0519-81592135</w:t>
      </w:r>
    </w:p>
    <w:p w14:paraId="6A9FA7F2">
      <w:pPr>
        <w:tabs>
          <w:tab w:val="left" w:pos="540"/>
          <w:tab w:val="left" w:pos="720"/>
          <w:tab w:val="left" w:pos="900"/>
          <w:tab w:val="left" w:pos="1080"/>
        </w:tabs>
        <w:spacing w:line="50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招标人地址：</w:t>
      </w:r>
      <w:r>
        <w:rPr>
          <w:rFonts w:hint="eastAsia" w:ascii="宋体" w:hAnsi="宋体" w:cs="宋体"/>
          <w:color w:val="auto"/>
          <w:szCs w:val="21"/>
          <w:highlight w:val="none"/>
          <w:lang w:eastAsia="zh-CN"/>
        </w:rPr>
        <w:t>常州市新北区通航广场1幢</w:t>
      </w:r>
    </w:p>
    <w:p w14:paraId="47B134C5">
      <w:pPr>
        <w:tabs>
          <w:tab w:val="left" w:pos="540"/>
          <w:tab w:val="left" w:pos="720"/>
          <w:tab w:val="left" w:pos="900"/>
          <w:tab w:val="left" w:pos="1080"/>
        </w:tabs>
        <w:spacing w:line="5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投诉电话: 0519-85113061  </w:t>
      </w:r>
    </w:p>
    <w:p w14:paraId="2497CE78">
      <w:pPr>
        <w:pStyle w:val="2"/>
        <w:spacing w:after="0" w:line="500" w:lineRule="exact"/>
        <w:ind w:firstLine="420" w:firstLineChars="200"/>
        <w:rPr>
          <w:rFonts w:hint="eastAsia"/>
          <w:color w:val="auto"/>
          <w:highlight w:val="none"/>
        </w:rPr>
      </w:pPr>
    </w:p>
    <w:p w14:paraId="7486F74A">
      <w:pPr>
        <w:tabs>
          <w:tab w:val="left" w:pos="540"/>
          <w:tab w:val="left" w:pos="720"/>
          <w:tab w:val="left" w:pos="900"/>
          <w:tab w:val="left" w:pos="1080"/>
        </w:tabs>
        <w:spacing w:line="500" w:lineRule="exact"/>
        <w:ind w:firstLine="420" w:firstLineChars="200"/>
        <w:jc w:val="left"/>
        <w:rPr>
          <w:rFonts w:hint="eastAsia" w:ascii="宋体" w:hAnsi="宋体" w:cs="宋体"/>
          <w:color w:val="auto"/>
          <w:szCs w:val="21"/>
          <w:highlight w:val="none"/>
        </w:rPr>
      </w:pPr>
      <w:r>
        <w:rPr>
          <w:rFonts w:hint="eastAsia" w:ascii="宋体" w:hAnsi="宋体"/>
          <w:color w:val="auto"/>
          <w:szCs w:val="21"/>
          <w:highlight w:val="none"/>
        </w:rPr>
        <w:t>招标代理机构：</w:t>
      </w:r>
      <w:r>
        <w:rPr>
          <w:rFonts w:hint="eastAsia" w:ascii="宋体" w:hAnsi="宋体" w:cs="宋体"/>
          <w:color w:val="auto"/>
          <w:szCs w:val="21"/>
          <w:highlight w:val="none"/>
        </w:rPr>
        <w:t>江苏国联佳信项目咨询管理有限公司</w:t>
      </w:r>
    </w:p>
    <w:p w14:paraId="57D54E4A">
      <w:pPr>
        <w:tabs>
          <w:tab w:val="left" w:pos="540"/>
          <w:tab w:val="left" w:pos="720"/>
          <w:tab w:val="left" w:pos="900"/>
          <w:tab w:val="left" w:pos="1080"/>
        </w:tabs>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联系人： </w:t>
      </w:r>
      <w:r>
        <w:rPr>
          <w:rFonts w:hint="eastAsia" w:ascii="宋体" w:hAnsi="宋体"/>
          <w:color w:val="auto"/>
          <w:szCs w:val="21"/>
          <w:highlight w:val="none"/>
          <w:lang w:val="en-US" w:eastAsia="zh-CN"/>
        </w:rPr>
        <w:t>叶</w:t>
      </w:r>
      <w:r>
        <w:rPr>
          <w:rFonts w:hint="eastAsia" w:ascii="宋体" w:hAnsi="宋体"/>
          <w:color w:val="auto"/>
          <w:szCs w:val="21"/>
          <w:highlight w:val="none"/>
        </w:rPr>
        <w:t xml:space="preserve">工 </w:t>
      </w:r>
    </w:p>
    <w:p w14:paraId="30F451DA">
      <w:pPr>
        <w:tabs>
          <w:tab w:val="left" w:pos="540"/>
          <w:tab w:val="left" w:pos="720"/>
          <w:tab w:val="left" w:pos="900"/>
          <w:tab w:val="left" w:pos="1080"/>
        </w:tabs>
        <w:spacing w:line="5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联系电话：0519-81580819</w:t>
      </w:r>
    </w:p>
    <w:p w14:paraId="1470DC58">
      <w:pPr>
        <w:tabs>
          <w:tab w:val="left" w:pos="540"/>
          <w:tab w:val="left" w:pos="720"/>
          <w:tab w:val="left" w:pos="900"/>
          <w:tab w:val="left" w:pos="1080"/>
        </w:tabs>
        <w:spacing w:line="500" w:lineRule="exact"/>
        <w:ind w:firstLine="420" w:firstLineChars="200"/>
        <w:jc w:val="left"/>
        <w:rPr>
          <w:rFonts w:hint="eastAsia" w:ascii="宋体" w:hAnsi="宋体" w:eastAsia="宋体" w:cs="宋体"/>
          <w:b/>
          <w:bCs/>
          <w:color w:val="auto"/>
          <w:kern w:val="0"/>
          <w:szCs w:val="21"/>
          <w:highlight w:val="none"/>
          <w:lang w:eastAsia="zh-CN"/>
        </w:rPr>
      </w:pPr>
      <w:r>
        <w:rPr>
          <w:rFonts w:hint="eastAsia" w:ascii="宋体" w:hAnsi="宋体"/>
          <w:color w:val="auto"/>
          <w:szCs w:val="21"/>
          <w:highlight w:val="none"/>
        </w:rPr>
        <w:t>招标代理机构地址：</w:t>
      </w:r>
      <w:r>
        <w:rPr>
          <w:rFonts w:hint="eastAsia" w:ascii="宋体" w:hAnsi="宋体" w:cs="宋体"/>
          <w:color w:val="auto"/>
          <w:szCs w:val="21"/>
          <w:highlight w:val="none"/>
          <w:lang w:eastAsia="zh-CN"/>
        </w:rPr>
        <w:t>常州市新北区太湖中路8号锦湖创新中心A座7楼</w:t>
      </w:r>
    </w:p>
    <w:p w14:paraId="18175761">
      <w:pPr>
        <w:autoSpaceDE w:val="0"/>
        <w:autoSpaceDN w:val="0"/>
        <w:spacing w:line="500" w:lineRule="exact"/>
        <w:rPr>
          <w:rFonts w:hint="eastAsia" w:ascii="宋体" w:hAnsi="宋体" w:cs="宋体"/>
          <w:color w:val="auto"/>
          <w:szCs w:val="21"/>
          <w:highlight w:val="none"/>
        </w:rPr>
      </w:pPr>
      <w:r>
        <w:rPr>
          <w:rFonts w:ascii="宋体" w:hAnsi="宋体" w:cs="宋体"/>
          <w:b/>
          <w:bCs/>
          <w:color w:val="auto"/>
          <w:szCs w:val="21"/>
          <w:highlight w:val="none"/>
        </w:rPr>
        <w:br w:type="page"/>
      </w:r>
      <w:r>
        <w:rPr>
          <w:rFonts w:hint="eastAsia" w:ascii="宋体" w:hAnsi="宋体" w:cs="宋体"/>
          <w:b/>
          <w:bCs/>
          <w:color w:val="auto"/>
          <w:szCs w:val="21"/>
          <w:highlight w:val="none"/>
        </w:rPr>
        <w:t>附件一：</w:t>
      </w:r>
    </w:p>
    <w:p w14:paraId="244233CF">
      <w:pPr>
        <w:pStyle w:val="8"/>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评标办法</w:t>
      </w:r>
    </w:p>
    <w:p w14:paraId="3AF18796">
      <w:pPr>
        <w:spacing w:line="360" w:lineRule="auto"/>
        <w:ind w:firstLine="412" w:firstLineChars="200"/>
        <w:rPr>
          <w:rFonts w:ascii="宋体" w:hAnsi="宋体" w:cs="宋体"/>
          <w:color w:val="auto"/>
          <w:spacing w:val="-2"/>
          <w:szCs w:val="21"/>
          <w:highlight w:val="none"/>
        </w:rPr>
      </w:pPr>
      <w:r>
        <w:rPr>
          <w:rFonts w:ascii="宋体" w:hAnsi="宋体" w:cs="宋体"/>
          <w:color w:val="auto"/>
          <w:spacing w:val="-2"/>
          <w:szCs w:val="21"/>
          <w:highlight w:val="none"/>
        </w:rPr>
        <w:t>本工程只对经过评审确定为有效标书的投标文件进行评审，评审的主要内容为投标报价、项目监理机构人员素质及专业配备、类似工程业绩等方面。总分值100 分，将所有有效投标文件中综合得分最高者推荐为第一中标候选人。</w:t>
      </w:r>
    </w:p>
    <w:p w14:paraId="510FFA4E">
      <w:pPr>
        <w:spacing w:line="360" w:lineRule="auto"/>
        <w:ind w:firstLine="412" w:firstLineChars="200"/>
        <w:rPr>
          <w:rFonts w:ascii="宋体" w:hAnsi="宋体" w:cs="宋体"/>
          <w:color w:val="auto"/>
          <w:spacing w:val="-2"/>
          <w:szCs w:val="21"/>
          <w:highlight w:val="none"/>
        </w:rPr>
      </w:pPr>
      <w:r>
        <w:rPr>
          <w:rFonts w:ascii="宋体" w:hAnsi="宋体" w:cs="宋体"/>
          <w:color w:val="auto"/>
          <w:spacing w:val="-2"/>
          <w:szCs w:val="21"/>
          <w:highlight w:val="none"/>
        </w:rPr>
        <w:t>根据省人民政府令第120号文规定由招标人组织进行清标工作。（具体详见招标文件中“投标人须知前附表”中“需要补充的其他内容”-招标人清标程序）。</w:t>
      </w:r>
    </w:p>
    <w:p w14:paraId="1E5B1E08">
      <w:pPr>
        <w:spacing w:line="360" w:lineRule="auto"/>
        <w:outlineLvl w:val="1"/>
        <w:rPr>
          <w:b/>
          <w:bCs/>
          <w:color w:val="auto"/>
          <w:szCs w:val="21"/>
          <w:highlight w:val="none"/>
        </w:rPr>
      </w:pPr>
      <w:bookmarkStart w:id="2" w:name="_Toc3136"/>
      <w:bookmarkStart w:id="3" w:name="_Toc30040"/>
      <w:bookmarkStart w:id="4" w:name="_Toc4180"/>
      <w:bookmarkStart w:id="5" w:name="_Toc17740"/>
      <w:r>
        <w:rPr>
          <w:rFonts w:ascii="宋体" w:hAnsi="宋体" w:cs="宋体"/>
          <w:b/>
          <w:bCs/>
          <w:color w:val="auto"/>
          <w:spacing w:val="1"/>
          <w:szCs w:val="21"/>
          <w:highlight w:val="none"/>
        </w:rPr>
        <w:t>一、投标报价：（</w:t>
      </w:r>
      <w:r>
        <w:rPr>
          <w:rFonts w:hint="eastAsia" w:ascii="宋体" w:hAnsi="宋体" w:cs="宋体"/>
          <w:b/>
          <w:bCs/>
          <w:color w:val="auto"/>
          <w:spacing w:val="1"/>
          <w:szCs w:val="21"/>
          <w:highlight w:val="none"/>
          <w:lang w:val="en-US" w:eastAsia="zh-CN"/>
        </w:rPr>
        <w:t>80</w:t>
      </w:r>
      <w:r>
        <w:rPr>
          <w:rFonts w:hint="eastAsia" w:ascii="宋体" w:hAnsi="宋体" w:cs="宋体"/>
          <w:b/>
          <w:bCs/>
          <w:color w:val="auto"/>
          <w:spacing w:val="1"/>
          <w:szCs w:val="21"/>
          <w:highlight w:val="none"/>
        </w:rPr>
        <w:t>分</w:t>
      </w:r>
      <w:r>
        <w:rPr>
          <w:rFonts w:ascii="宋体" w:hAnsi="宋体" w:cs="宋体"/>
          <w:b/>
          <w:bCs/>
          <w:color w:val="auto"/>
          <w:spacing w:val="1"/>
          <w:szCs w:val="21"/>
          <w:highlight w:val="none"/>
        </w:rPr>
        <w:t>）</w:t>
      </w:r>
      <w:bookmarkEnd w:id="2"/>
      <w:bookmarkEnd w:id="3"/>
      <w:bookmarkEnd w:id="4"/>
      <w:bookmarkEnd w:id="5"/>
    </w:p>
    <w:p w14:paraId="3BCA3334">
      <w:pPr>
        <w:spacing w:line="360" w:lineRule="auto"/>
        <w:ind w:firstLine="412" w:firstLineChars="200"/>
        <w:rPr>
          <w:rFonts w:ascii="宋体" w:hAnsi="宋体" w:cs="宋体"/>
          <w:color w:val="auto"/>
          <w:spacing w:val="-2"/>
          <w:szCs w:val="21"/>
          <w:highlight w:val="none"/>
        </w:rPr>
      </w:pPr>
      <w:r>
        <w:rPr>
          <w:rFonts w:ascii="宋体" w:hAnsi="宋体" w:cs="宋体"/>
          <w:color w:val="auto"/>
          <w:spacing w:val="-2"/>
          <w:szCs w:val="21"/>
          <w:highlight w:val="none"/>
        </w:rPr>
        <w:t>本次招标的最高投标限价为</w:t>
      </w:r>
      <w:r>
        <w:rPr>
          <w:rFonts w:hint="eastAsia" w:ascii="宋体" w:hAnsi="宋体" w:cs="宋体"/>
          <w:color w:val="auto"/>
          <w:spacing w:val="-2"/>
          <w:szCs w:val="21"/>
          <w:highlight w:val="none"/>
          <w:lang w:val="en-US" w:eastAsia="zh-CN"/>
        </w:rPr>
        <w:t>45.3255</w:t>
      </w:r>
      <w:r>
        <w:rPr>
          <w:rFonts w:ascii="宋体" w:hAnsi="宋体" w:cs="宋体"/>
          <w:color w:val="auto"/>
          <w:spacing w:val="-2"/>
          <w:szCs w:val="21"/>
          <w:highlight w:val="none"/>
        </w:rPr>
        <w:t>万元。超过最高投标限价或未能实质性响应招标文件、招标答疑纪要等有关招标要求的投标文件为无效标。</w:t>
      </w:r>
    </w:p>
    <w:p w14:paraId="27C32045">
      <w:pPr>
        <w:spacing w:line="360" w:lineRule="auto"/>
        <w:ind w:firstLine="412" w:firstLineChars="200"/>
        <w:rPr>
          <w:rFonts w:ascii="宋体" w:hAnsi="宋体" w:cs="宋体"/>
          <w:color w:val="auto"/>
          <w:spacing w:val="-2"/>
          <w:szCs w:val="21"/>
          <w:highlight w:val="none"/>
        </w:rPr>
      </w:pPr>
      <w:r>
        <w:rPr>
          <w:rFonts w:ascii="宋体" w:hAnsi="宋体" w:cs="宋体"/>
          <w:color w:val="auto"/>
          <w:spacing w:val="-2"/>
          <w:szCs w:val="21"/>
          <w:highlight w:val="none"/>
        </w:rPr>
        <w:t>以有效投标文件的投标报价算术平均值为A，最高投标报价限价为B（最高投标限价B＝</w:t>
      </w:r>
      <w:r>
        <w:rPr>
          <w:rFonts w:hint="eastAsia" w:ascii="宋体" w:hAnsi="宋体" w:cs="宋体"/>
          <w:color w:val="auto"/>
          <w:spacing w:val="-2"/>
          <w:szCs w:val="21"/>
          <w:highlight w:val="none"/>
          <w:lang w:val="en-US" w:eastAsia="zh-CN"/>
        </w:rPr>
        <w:t>45.3255</w:t>
      </w:r>
      <w:r>
        <w:rPr>
          <w:rFonts w:ascii="宋体" w:hAnsi="宋体" w:cs="宋体"/>
          <w:color w:val="auto"/>
          <w:spacing w:val="-2"/>
          <w:szCs w:val="21"/>
          <w:highlight w:val="none"/>
        </w:rPr>
        <w:t>万元），则：评标基准价＝A×Q1+B×Q2。Q2=1-Q1,Q1 的取值范围：10%，15%，20%，25%，30%；Q1 值由招标人代表随机抽取确定。投标报价等于评标基准价的得满分；偏离评标基准价的，</w:t>
      </w:r>
      <w:r>
        <w:rPr>
          <w:rFonts w:hint="eastAsia" w:ascii="宋体" w:hAnsi="宋体" w:cs="宋体"/>
          <w:color w:val="auto"/>
          <w:spacing w:val="-2"/>
          <w:szCs w:val="21"/>
          <w:highlight w:val="none"/>
        </w:rPr>
        <w:t>每偏离1%，高扣0.3分，低扣0.15分，偏离不足1%的，用插入法计算。投标报价以元为单位，保留小数点后两位。</w:t>
      </w:r>
    </w:p>
    <w:p w14:paraId="212A2A65">
      <w:pPr>
        <w:spacing w:line="360" w:lineRule="auto"/>
        <w:ind w:firstLine="414" w:firstLineChars="200"/>
        <w:rPr>
          <w:rFonts w:ascii="宋体" w:hAnsi="宋体" w:cs="宋体"/>
          <w:color w:val="auto"/>
          <w:spacing w:val="-2"/>
          <w:szCs w:val="21"/>
          <w:highlight w:val="none"/>
        </w:rPr>
      </w:pPr>
      <w:r>
        <w:rPr>
          <w:rFonts w:ascii="宋体" w:hAnsi="宋体" w:cs="宋体"/>
          <w:b/>
          <w:bCs/>
          <w:color w:val="auto"/>
          <w:spacing w:val="-2"/>
          <w:szCs w:val="21"/>
          <w:highlight w:val="none"/>
        </w:rPr>
        <w:t>注：</w:t>
      </w:r>
      <w:r>
        <w:rPr>
          <w:rFonts w:ascii="宋体" w:hAnsi="宋体" w:cs="宋体"/>
          <w:color w:val="auto"/>
          <w:spacing w:val="-2"/>
          <w:szCs w:val="21"/>
          <w:highlight w:val="none"/>
        </w:rPr>
        <w:t>1.计算算术平均值A 时，当有效投标文件＜7 家时，直接取所有投标报价的平均值；若7 家≤有效投标文件＜10 家时，应去掉其中的一个最高价和一个最低价；若有效投标文件≥10 家，应去掉其中的二个最高价和二个最低价。</w:t>
      </w:r>
    </w:p>
    <w:p w14:paraId="3CECFAD4">
      <w:pPr>
        <w:spacing w:line="360" w:lineRule="auto"/>
        <w:ind w:firstLine="412" w:firstLineChars="200"/>
        <w:rPr>
          <w:rFonts w:ascii="宋体" w:hAnsi="宋体" w:cs="宋体"/>
          <w:color w:val="auto"/>
          <w:szCs w:val="21"/>
          <w:highlight w:val="none"/>
        </w:rPr>
      </w:pPr>
      <w:r>
        <w:rPr>
          <w:rFonts w:ascii="宋体" w:hAnsi="宋体" w:cs="宋体"/>
          <w:color w:val="auto"/>
          <w:spacing w:val="-2"/>
          <w:szCs w:val="21"/>
          <w:highlight w:val="none"/>
        </w:rPr>
        <w:t>2.评标委员会在评标报告签字后，上述方法的评标基准价不因招投标当事人质疑、投诉、复议以及其他任何情形而改变，评标过程中的计算错误调整除外。</w:t>
      </w:r>
    </w:p>
    <w:p w14:paraId="2E61765D">
      <w:pPr>
        <w:spacing w:line="360" w:lineRule="auto"/>
        <w:outlineLvl w:val="1"/>
        <w:rPr>
          <w:b/>
          <w:bCs/>
          <w:color w:val="auto"/>
          <w:szCs w:val="21"/>
          <w:highlight w:val="none"/>
        </w:rPr>
      </w:pPr>
      <w:bookmarkStart w:id="6" w:name="_Toc21400"/>
      <w:bookmarkStart w:id="7" w:name="_Toc3222"/>
      <w:bookmarkStart w:id="8" w:name="_Toc3836"/>
      <w:bookmarkStart w:id="9" w:name="_Toc22060"/>
      <w:r>
        <w:rPr>
          <w:rFonts w:ascii="宋体" w:hAnsi="宋体" w:cs="宋体"/>
          <w:b/>
          <w:bCs/>
          <w:color w:val="auto"/>
          <w:spacing w:val="1"/>
          <w:szCs w:val="21"/>
          <w:highlight w:val="none"/>
        </w:rPr>
        <w:t>二、项目监理机构人员素质及专业配备（</w:t>
      </w:r>
      <w:r>
        <w:rPr>
          <w:rFonts w:hint="eastAsia" w:ascii="宋体" w:hAnsi="宋体" w:cs="宋体"/>
          <w:b/>
          <w:bCs/>
          <w:color w:val="auto"/>
          <w:spacing w:val="1"/>
          <w:szCs w:val="21"/>
          <w:highlight w:val="none"/>
          <w:lang w:val="en-US" w:eastAsia="zh-CN"/>
        </w:rPr>
        <w:t>12</w:t>
      </w:r>
      <w:r>
        <w:rPr>
          <w:rFonts w:ascii="宋体" w:hAnsi="宋体" w:cs="宋体"/>
          <w:b/>
          <w:bCs/>
          <w:color w:val="auto"/>
          <w:spacing w:val="1"/>
          <w:szCs w:val="21"/>
          <w:highlight w:val="none"/>
        </w:rPr>
        <w:t>分）</w:t>
      </w:r>
      <w:bookmarkEnd w:id="6"/>
      <w:bookmarkEnd w:id="7"/>
      <w:bookmarkEnd w:id="8"/>
      <w:bookmarkEnd w:id="9"/>
    </w:p>
    <w:p w14:paraId="27F7A535">
      <w:pPr>
        <w:spacing w:line="360" w:lineRule="auto"/>
        <w:outlineLvl w:val="2"/>
        <w:rPr>
          <w:rFonts w:ascii="宋体" w:hAnsi="宋体" w:cs="宋体"/>
          <w:b w:val="0"/>
          <w:bCs w:val="0"/>
          <w:color w:val="auto"/>
          <w:spacing w:val="-1"/>
          <w:szCs w:val="21"/>
          <w:highlight w:val="none"/>
        </w:rPr>
      </w:pPr>
      <w:bookmarkStart w:id="10" w:name="_Toc11441"/>
      <w:bookmarkStart w:id="11" w:name="_Toc31554"/>
      <w:bookmarkStart w:id="12" w:name="_Toc9542"/>
      <w:bookmarkStart w:id="13" w:name="_Toc20437"/>
      <w:r>
        <w:rPr>
          <w:rFonts w:ascii="宋体" w:hAnsi="宋体" w:cs="宋体"/>
          <w:b w:val="0"/>
          <w:bCs w:val="0"/>
          <w:color w:val="auto"/>
          <w:szCs w:val="21"/>
          <w:highlight w:val="none"/>
        </w:rPr>
        <w:t>1.总监理工程师（</w:t>
      </w:r>
      <w:r>
        <w:rPr>
          <w:rFonts w:hint="eastAsia" w:ascii="宋体" w:hAnsi="宋体" w:cs="宋体"/>
          <w:b w:val="0"/>
          <w:bCs w:val="0"/>
          <w:color w:val="auto"/>
          <w:szCs w:val="21"/>
          <w:highlight w:val="none"/>
          <w:lang w:val="en-US" w:eastAsia="zh-CN"/>
        </w:rPr>
        <w:t>6</w:t>
      </w:r>
      <w:r>
        <w:rPr>
          <w:rFonts w:ascii="宋体" w:hAnsi="宋体" w:cs="宋体"/>
          <w:b w:val="0"/>
          <w:bCs w:val="0"/>
          <w:color w:val="auto"/>
          <w:spacing w:val="-1"/>
          <w:szCs w:val="21"/>
          <w:highlight w:val="none"/>
        </w:rPr>
        <w:t>分）</w:t>
      </w:r>
      <w:bookmarkEnd w:id="10"/>
      <w:bookmarkEnd w:id="11"/>
      <w:bookmarkEnd w:id="12"/>
      <w:bookmarkEnd w:id="13"/>
    </w:p>
    <w:p w14:paraId="07B5D7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（1）拟派总监具有建设工程类（建设工程分类按《GB/T 50841-2013建设工程分类标准》执行）</w:t>
      </w:r>
      <w:r>
        <w:rPr>
          <w:rFonts w:hint="eastAsia" w:ascii="宋体" w:hAnsi="宋体" w:eastAsia="宋体" w:cs="宋体"/>
          <w:color w:val="auto"/>
          <w:spacing w:val="-3"/>
          <w:szCs w:val="21"/>
          <w:highlight w:val="none"/>
          <w:lang w:eastAsia="zh-CN"/>
        </w:rPr>
        <w:t>高</w:t>
      </w:r>
      <w:r>
        <w:rPr>
          <w:rFonts w:hint="eastAsia" w:ascii="宋体" w:hAnsi="宋体" w:eastAsia="宋体" w:cs="宋体"/>
          <w:color w:val="auto"/>
          <w:spacing w:val="-3"/>
          <w:szCs w:val="21"/>
          <w:highlight w:val="none"/>
          <w:lang w:val="en-US" w:eastAsia="zh-CN"/>
        </w:rPr>
        <w:t>级工程师</w:t>
      </w:r>
      <w:r>
        <w:rPr>
          <w:rFonts w:hint="eastAsia" w:ascii="宋体" w:hAnsi="宋体" w:cs="宋体"/>
          <w:color w:val="auto"/>
          <w:spacing w:val="-3"/>
          <w:szCs w:val="21"/>
          <w:highlight w:val="none"/>
          <w:lang w:val="en-US" w:eastAsia="zh-CN"/>
        </w:rPr>
        <w:t>及以上</w:t>
      </w:r>
      <w:r>
        <w:rPr>
          <w:rFonts w:hint="eastAsia" w:ascii="宋体" w:hAnsi="宋体" w:eastAsia="宋体" w:cs="宋体"/>
          <w:color w:val="auto"/>
          <w:spacing w:val="-3"/>
          <w:szCs w:val="21"/>
          <w:highlight w:val="none"/>
          <w:lang w:val="en-US" w:eastAsia="zh-CN"/>
        </w:rPr>
        <w:t>职称</w:t>
      </w:r>
      <w:r>
        <w:rPr>
          <w:rFonts w:hint="eastAsia" w:ascii="宋体" w:hAnsi="宋体" w:cs="宋体"/>
          <w:color w:val="auto"/>
          <w:spacing w:val="-3"/>
          <w:szCs w:val="21"/>
          <w:highlight w:val="none"/>
          <w:lang w:val="en-US" w:eastAsia="zh-CN"/>
        </w:rPr>
        <w:t>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分，本项最高得2分。(以职称证书原件 (或电子证照)为准，</w:t>
      </w:r>
      <w:r>
        <w:rPr>
          <w:rFonts w:ascii="宋体" w:hAnsi="宋体" w:cs="宋体"/>
          <w:color w:val="auto"/>
          <w:spacing w:val="-6"/>
          <w:szCs w:val="21"/>
          <w:highlight w:val="none"/>
        </w:rPr>
        <w:t>无原件（或电子证照）或</w:t>
      </w:r>
      <w:r>
        <w:rPr>
          <w:rFonts w:hint="eastAsia" w:ascii="宋体" w:hAnsi="宋体" w:cs="宋体"/>
          <w:color w:val="auto"/>
          <w:spacing w:val="-6"/>
          <w:szCs w:val="21"/>
          <w:highlight w:val="none"/>
        </w:rPr>
        <w:t>原件</w:t>
      </w:r>
      <w:r>
        <w:rPr>
          <w:rFonts w:ascii="宋体" w:hAnsi="宋体" w:cs="宋体"/>
          <w:color w:val="auto"/>
          <w:spacing w:val="-6"/>
          <w:szCs w:val="21"/>
          <w:highlight w:val="none"/>
        </w:rPr>
        <w:t>（或电子证照）不全均不得分</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66D1F64F">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（2）取得国家注册监理工程师执业资格</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年及以上得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年以</w:t>
      </w:r>
      <w:r>
        <w:rPr>
          <w:rFonts w:hint="eastAsia" w:ascii="宋体" w:hAnsi="宋体" w:cs="宋体"/>
          <w:color w:val="auto"/>
          <w:szCs w:val="21"/>
          <w:highlight w:val="none"/>
          <w:lang w:val="en-US" w:eastAsia="zh-CN"/>
        </w:rPr>
        <w:t>下</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最高得2分</w:t>
      </w:r>
      <w:r>
        <w:rPr>
          <w:rFonts w:hint="eastAsia" w:ascii="宋体" w:hAnsi="宋体" w:cs="宋体"/>
          <w:color w:val="auto"/>
          <w:szCs w:val="21"/>
          <w:highlight w:val="none"/>
          <w:lang w:eastAsia="zh-CN"/>
        </w:rPr>
        <w:t>。</w:t>
      </w:r>
      <w:r>
        <w:rPr>
          <w:rFonts w:hint="eastAsia" w:ascii="宋体" w:hAnsi="宋体" w:cs="宋体"/>
          <w:color w:val="auto"/>
          <w:szCs w:val="21"/>
          <w:highlight w:val="none"/>
        </w:rPr>
        <w:t>（以执（职）业资格证书原件（或电子证照）为准，无原件（或电子证照）或原件（或电子证照）不全均不得分。执（职）业年限以执（职）业资格证书所载批准日期至投标截止之日实足时间为准）。</w:t>
      </w:r>
    </w:p>
    <w:p w14:paraId="33BB15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具备其他建设工程相关</w:t>
      </w:r>
      <w:r>
        <w:rPr>
          <w:rFonts w:hint="eastAsia" w:ascii="宋体" w:hAnsi="宋体" w:cs="宋体"/>
          <w:color w:val="auto"/>
          <w:szCs w:val="21"/>
          <w:highlight w:val="none"/>
        </w:rPr>
        <w:t>准入类职业资格</w:t>
      </w:r>
      <w:r>
        <w:rPr>
          <w:rFonts w:hint="eastAsia" w:ascii="宋体" w:hAnsi="宋体" w:cs="宋体"/>
          <w:color w:val="auto"/>
          <w:szCs w:val="21"/>
          <w:highlight w:val="none"/>
          <w:lang w:val="en-US" w:eastAsia="zh-CN"/>
        </w:rPr>
        <w:t>的（如分级别的，需最高级别），每有一项得1分</w:t>
      </w:r>
      <w:r>
        <w:rPr>
          <w:rFonts w:hint="eastAsia" w:ascii="宋体" w:hAnsi="宋体" w:cs="宋体"/>
          <w:color w:val="auto"/>
          <w:szCs w:val="21"/>
          <w:highlight w:val="none"/>
        </w:rPr>
        <w:t>。本项</w:t>
      </w:r>
      <w:r>
        <w:rPr>
          <w:rFonts w:hint="eastAsia" w:ascii="宋体" w:hAnsi="宋体" w:cs="宋体"/>
          <w:color w:val="auto"/>
          <w:szCs w:val="21"/>
          <w:highlight w:val="none"/>
          <w:lang w:val="en-US" w:eastAsia="zh-CN"/>
        </w:rPr>
        <w:t>限评两张证书，</w:t>
      </w:r>
      <w:r>
        <w:rPr>
          <w:rFonts w:hint="eastAsia" w:ascii="宋体" w:hAnsi="宋体" w:cs="宋体"/>
          <w:color w:val="auto"/>
          <w:szCs w:val="21"/>
          <w:highlight w:val="none"/>
        </w:rPr>
        <w:t>最高得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分。注：若相关证照为电子证书的，须符合发证部门的使用要求。</w:t>
      </w:r>
      <w:r>
        <w:rPr>
          <w:rFonts w:hint="eastAsia" w:ascii="宋体" w:hAnsi="宋体" w:cs="宋体"/>
          <w:color w:val="auto"/>
          <w:szCs w:val="21"/>
          <w:highlight w:val="none"/>
          <w:lang w:eastAsia="zh-CN"/>
        </w:rPr>
        <w:t>(以有效期内的注册证书原件(或电子证照)为淮，无原件(或电子证照)或原件(或电子证照)不全均不得分)。</w:t>
      </w:r>
    </w:p>
    <w:p w14:paraId="10A2AA40">
      <w:pPr>
        <w:spacing w:line="360" w:lineRule="auto"/>
        <w:ind w:firstLine="420" w:firstLineChars="200"/>
        <w:rPr>
          <w:rFonts w:ascii="宋体" w:hAnsi="宋体" w:cs="宋体"/>
          <w:color w:val="auto"/>
          <w:szCs w:val="21"/>
          <w:highlight w:val="none"/>
        </w:rPr>
      </w:pPr>
    </w:p>
    <w:p w14:paraId="0B3798DE">
      <w:pPr>
        <w:spacing w:line="360" w:lineRule="auto"/>
        <w:outlineLvl w:val="2"/>
        <w:rPr>
          <w:rFonts w:ascii="宋体" w:hAnsi="宋体" w:cs="宋体"/>
          <w:color w:val="auto"/>
          <w:szCs w:val="21"/>
          <w:highlight w:val="none"/>
        </w:rPr>
      </w:pPr>
      <w:bookmarkStart w:id="14" w:name="_Toc15110"/>
      <w:bookmarkStart w:id="15" w:name="_Toc6653"/>
      <w:bookmarkStart w:id="16" w:name="_Toc18281"/>
      <w:bookmarkStart w:id="17" w:name="_Toc13375"/>
      <w:r>
        <w:rPr>
          <w:rFonts w:ascii="宋体" w:hAnsi="宋体" w:cs="宋体"/>
          <w:color w:val="auto"/>
          <w:szCs w:val="21"/>
          <w:highlight w:val="none"/>
        </w:rPr>
        <w:t>2.其他监理人员（</w:t>
      </w:r>
      <w:r>
        <w:rPr>
          <w:rFonts w:hint="eastAsia" w:ascii="宋体" w:hAnsi="宋体" w:cs="宋体"/>
          <w:color w:val="auto"/>
          <w:szCs w:val="21"/>
          <w:highlight w:val="none"/>
          <w:lang w:val="en-US" w:eastAsia="zh-CN"/>
        </w:rPr>
        <w:t>6</w:t>
      </w:r>
      <w:r>
        <w:rPr>
          <w:rFonts w:ascii="宋体" w:hAnsi="宋体" w:cs="宋体"/>
          <w:color w:val="auto"/>
          <w:szCs w:val="21"/>
          <w:highlight w:val="none"/>
        </w:rPr>
        <w:t>分）</w:t>
      </w:r>
      <w:bookmarkEnd w:id="14"/>
      <w:bookmarkEnd w:id="15"/>
      <w:bookmarkEnd w:id="16"/>
      <w:bookmarkEnd w:id="17"/>
    </w:p>
    <w:p w14:paraId="524439A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cs="宋体"/>
          <w:color w:val="auto"/>
          <w:spacing w:val="-3"/>
          <w:szCs w:val="21"/>
          <w:highlight w:val="none"/>
        </w:rPr>
      </w:pPr>
      <w:r>
        <w:rPr>
          <w:rFonts w:hint="eastAsia" w:ascii="宋体" w:hAnsi="宋体" w:cs="宋体"/>
          <w:color w:val="auto"/>
          <w:szCs w:val="21"/>
          <w:highlight w:val="none"/>
        </w:rPr>
        <w:t>（1）</w:t>
      </w:r>
      <w:r>
        <w:rPr>
          <w:rFonts w:hint="eastAsia" w:ascii="宋体" w:hAnsi="宋体" w:cs="宋体"/>
          <w:color w:val="auto"/>
          <w:spacing w:val="-3"/>
          <w:szCs w:val="21"/>
          <w:highlight w:val="none"/>
        </w:rPr>
        <w:t>拟配备专业监理人员为国家注册监理工程师(且注册专业为</w:t>
      </w:r>
      <w:r>
        <w:rPr>
          <w:rFonts w:hint="eastAsia" w:ascii="宋体" w:hAnsi="宋体" w:cs="宋体"/>
          <w:color w:val="auto"/>
          <w:spacing w:val="-3"/>
          <w:szCs w:val="21"/>
          <w:highlight w:val="none"/>
          <w:lang w:val="en-US" w:eastAsia="zh-CN"/>
        </w:rPr>
        <w:t>市政公用或</w:t>
      </w:r>
      <w:r>
        <w:rPr>
          <w:rFonts w:hint="eastAsia" w:ascii="宋体" w:hAnsi="宋体" w:cs="宋体"/>
          <w:color w:val="auto"/>
          <w:spacing w:val="-3"/>
          <w:szCs w:val="21"/>
          <w:highlight w:val="none"/>
        </w:rPr>
        <w:t>机电安装工程)的得</w:t>
      </w:r>
      <w:r>
        <w:rPr>
          <w:rFonts w:hint="eastAsia" w:ascii="宋体" w:hAnsi="宋体" w:cs="宋体"/>
          <w:color w:val="auto"/>
          <w:spacing w:val="-3"/>
          <w:szCs w:val="21"/>
          <w:highlight w:val="none"/>
          <w:lang w:val="en-US" w:eastAsia="zh-CN"/>
        </w:rPr>
        <w:t>2</w:t>
      </w:r>
      <w:r>
        <w:rPr>
          <w:rFonts w:hint="eastAsia" w:ascii="宋体" w:hAnsi="宋体" w:cs="宋体"/>
          <w:color w:val="auto"/>
          <w:spacing w:val="-3"/>
          <w:szCs w:val="21"/>
          <w:highlight w:val="none"/>
        </w:rPr>
        <w:t>分，</w:t>
      </w:r>
      <w:r>
        <w:rPr>
          <w:rFonts w:hint="eastAsia" w:ascii="宋体" w:hAnsi="宋体" w:cs="宋体"/>
          <w:color w:val="auto"/>
          <w:szCs w:val="21"/>
          <w:highlight w:val="none"/>
          <w:lang w:val="en-US" w:eastAsia="zh-CN"/>
        </w:rPr>
        <w:t>具备其他建设工程相关</w:t>
      </w:r>
      <w:r>
        <w:rPr>
          <w:rFonts w:hint="eastAsia" w:ascii="宋体" w:hAnsi="宋体" w:cs="宋体"/>
          <w:color w:val="auto"/>
          <w:szCs w:val="21"/>
          <w:highlight w:val="none"/>
          <w:lang w:eastAsia="zh-CN"/>
        </w:rPr>
        <w:t>准入类职业资格</w:t>
      </w:r>
      <w:r>
        <w:rPr>
          <w:rFonts w:hint="eastAsia" w:ascii="宋体" w:hAnsi="宋体" w:cs="宋体"/>
          <w:color w:val="auto"/>
          <w:szCs w:val="21"/>
          <w:highlight w:val="none"/>
          <w:lang w:val="en-US" w:eastAsia="zh-CN"/>
        </w:rPr>
        <w:t>的（如分级别的，需最高级别）得1分（</w:t>
      </w:r>
      <w:r>
        <w:rPr>
          <w:rFonts w:hint="eastAsia" w:ascii="宋体" w:hAnsi="宋体" w:cs="宋体"/>
          <w:color w:val="auto"/>
          <w:szCs w:val="21"/>
          <w:highlight w:val="none"/>
        </w:rPr>
        <w:t>本项</w:t>
      </w:r>
      <w:r>
        <w:rPr>
          <w:rFonts w:hint="eastAsia" w:ascii="宋体" w:hAnsi="宋体" w:cs="宋体"/>
          <w:color w:val="auto"/>
          <w:szCs w:val="21"/>
          <w:highlight w:val="none"/>
          <w:lang w:val="en-US" w:eastAsia="zh-CN"/>
        </w:rPr>
        <w:t>限评一张证书）,具备高</w:t>
      </w:r>
      <w:r>
        <w:rPr>
          <w:rFonts w:hint="eastAsia" w:ascii="宋体" w:hAnsi="宋体" w:cs="宋体"/>
          <w:color w:val="auto"/>
          <w:szCs w:val="21"/>
          <w:highlight w:val="none"/>
          <w:lang w:eastAsia="zh-CN"/>
        </w:rPr>
        <w:t>级工程师及以上的得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分，本项限评1人，最高得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分。(以有效期内的注册证书原件(或电子证照)为淮，无原件(或电子证照)或原件(或电子证照)不全均不得分)。</w:t>
      </w:r>
    </w:p>
    <w:p w14:paraId="36C78979">
      <w:pPr>
        <w:spacing w:line="360" w:lineRule="auto"/>
        <w:ind w:firstLine="420" w:firstLineChars="200"/>
        <w:rPr>
          <w:rFonts w:ascii="宋体" w:hAnsi="宋体" w:cs="宋体"/>
          <w:color w:val="auto"/>
          <w:spacing w:val="-3"/>
          <w:szCs w:val="21"/>
          <w:highlight w:val="none"/>
        </w:rPr>
      </w:pPr>
      <w:r>
        <w:rPr>
          <w:rFonts w:hint="eastAsia" w:ascii="宋体" w:hAnsi="宋体" w:cs="宋体"/>
          <w:color w:val="auto"/>
          <w:szCs w:val="21"/>
          <w:highlight w:val="none"/>
        </w:rPr>
        <w:t>（2）</w:t>
      </w:r>
      <w:r>
        <w:rPr>
          <w:rFonts w:hint="eastAsia" w:ascii="宋体" w:hAnsi="宋体" w:cs="宋体"/>
          <w:color w:val="auto"/>
          <w:spacing w:val="-3"/>
          <w:szCs w:val="21"/>
          <w:highlight w:val="none"/>
        </w:rPr>
        <w:t>拟配备专业监理人员为国家注册监理工程师(不限专业)的得</w:t>
      </w:r>
      <w:r>
        <w:rPr>
          <w:rFonts w:hint="eastAsia" w:ascii="宋体" w:hAnsi="宋体" w:cs="宋体"/>
          <w:color w:val="auto"/>
          <w:spacing w:val="-3"/>
          <w:szCs w:val="21"/>
          <w:highlight w:val="none"/>
          <w:lang w:val="en-US" w:eastAsia="zh-CN"/>
        </w:rPr>
        <w:t>1</w:t>
      </w:r>
      <w:r>
        <w:rPr>
          <w:rFonts w:hint="eastAsia" w:ascii="宋体" w:hAnsi="宋体" w:cs="宋体"/>
          <w:color w:val="auto"/>
          <w:spacing w:val="-3"/>
          <w:szCs w:val="21"/>
          <w:highlight w:val="none"/>
        </w:rPr>
        <w:t>分，</w:t>
      </w:r>
      <w:r>
        <w:rPr>
          <w:rFonts w:hint="eastAsia" w:ascii="宋体" w:hAnsi="宋体" w:cs="宋体"/>
          <w:color w:val="auto"/>
          <w:szCs w:val="21"/>
          <w:highlight w:val="none"/>
          <w:lang w:val="en-US" w:eastAsia="zh-CN"/>
        </w:rPr>
        <w:t>具备其他建设工程相关</w:t>
      </w:r>
      <w:r>
        <w:rPr>
          <w:rFonts w:hint="eastAsia" w:ascii="宋体" w:hAnsi="宋体" w:cs="宋体"/>
          <w:color w:val="auto"/>
          <w:spacing w:val="-3"/>
          <w:szCs w:val="21"/>
          <w:highlight w:val="none"/>
        </w:rPr>
        <w:t>准入类职业资格</w:t>
      </w:r>
      <w:r>
        <w:rPr>
          <w:rFonts w:hint="eastAsia" w:ascii="宋体" w:hAnsi="宋体" w:cs="宋体"/>
          <w:color w:val="auto"/>
          <w:spacing w:val="-3"/>
          <w:szCs w:val="21"/>
          <w:highlight w:val="none"/>
          <w:lang w:val="en-US" w:eastAsia="zh-CN"/>
        </w:rPr>
        <w:t>的（如分级别的，需最高级别）得0.5分</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本项</w:t>
      </w:r>
      <w:r>
        <w:rPr>
          <w:rFonts w:hint="eastAsia" w:ascii="宋体" w:hAnsi="宋体" w:cs="宋体"/>
          <w:color w:val="auto"/>
          <w:szCs w:val="21"/>
          <w:highlight w:val="none"/>
          <w:lang w:val="en-US" w:eastAsia="zh-CN"/>
        </w:rPr>
        <w:t>限评一张证书）</w:t>
      </w:r>
      <w:r>
        <w:rPr>
          <w:rFonts w:hint="eastAsia" w:ascii="宋体" w:hAnsi="宋体" w:cs="宋体"/>
          <w:color w:val="auto"/>
          <w:spacing w:val="-3"/>
          <w:szCs w:val="21"/>
          <w:highlight w:val="none"/>
          <w:lang w:val="en-US" w:eastAsia="zh-CN"/>
        </w:rPr>
        <w:t>,具备</w:t>
      </w:r>
      <w:r>
        <w:rPr>
          <w:rFonts w:hint="eastAsia" w:ascii="宋体" w:hAnsi="宋体" w:cs="宋体"/>
          <w:color w:val="auto"/>
          <w:spacing w:val="-3"/>
          <w:szCs w:val="21"/>
          <w:highlight w:val="none"/>
        </w:rPr>
        <w:t>中级工程师及以上的得</w:t>
      </w:r>
      <w:r>
        <w:rPr>
          <w:rFonts w:hint="eastAsia" w:ascii="宋体" w:hAnsi="宋体" w:cs="宋体"/>
          <w:color w:val="auto"/>
          <w:spacing w:val="-3"/>
          <w:szCs w:val="21"/>
          <w:highlight w:val="none"/>
          <w:lang w:val="en-US" w:eastAsia="zh-CN"/>
        </w:rPr>
        <w:t>0.5</w:t>
      </w:r>
      <w:r>
        <w:rPr>
          <w:rFonts w:hint="eastAsia" w:ascii="宋体" w:hAnsi="宋体" w:cs="宋体"/>
          <w:color w:val="auto"/>
          <w:spacing w:val="-3"/>
          <w:szCs w:val="21"/>
          <w:highlight w:val="none"/>
        </w:rPr>
        <w:t>分，本项限评1人，最高得</w:t>
      </w:r>
      <w:r>
        <w:rPr>
          <w:rFonts w:hint="eastAsia" w:ascii="宋体" w:hAnsi="宋体" w:cs="宋体"/>
          <w:color w:val="auto"/>
          <w:spacing w:val="-3"/>
          <w:szCs w:val="21"/>
          <w:highlight w:val="none"/>
          <w:lang w:val="en-US" w:eastAsia="zh-CN"/>
        </w:rPr>
        <w:t>2</w:t>
      </w:r>
      <w:r>
        <w:rPr>
          <w:rFonts w:hint="eastAsia" w:ascii="宋体" w:hAnsi="宋体" w:cs="宋体"/>
          <w:color w:val="auto"/>
          <w:spacing w:val="-3"/>
          <w:szCs w:val="21"/>
          <w:highlight w:val="none"/>
        </w:rPr>
        <w:t>分。(以有效期内的注册证书原件(或电子证照)为准，无原件(或电子证照)或原件(或电子证照)不全均不得分)。</w:t>
      </w:r>
    </w:p>
    <w:p w14:paraId="3EF6B751">
      <w:pPr>
        <w:spacing w:line="360" w:lineRule="auto"/>
        <w:ind w:firstLine="408" w:firstLineChars="200"/>
        <w:rPr>
          <w:rFonts w:ascii="宋体" w:hAnsi="宋体" w:cs="宋体"/>
          <w:color w:val="auto"/>
          <w:spacing w:val="-3"/>
          <w:szCs w:val="21"/>
          <w:highlight w:val="none"/>
        </w:rPr>
      </w:pPr>
      <w:r>
        <w:rPr>
          <w:rFonts w:hint="eastAsia" w:ascii="宋体" w:hAnsi="宋体" w:cs="宋体"/>
          <w:color w:val="auto"/>
          <w:spacing w:val="-3"/>
          <w:szCs w:val="21"/>
          <w:highlight w:val="none"/>
        </w:rPr>
        <w:t>注：①</w:t>
      </w:r>
      <w:r>
        <w:rPr>
          <w:rFonts w:hint="eastAsia" w:ascii="宋体" w:hAnsi="宋体" w:cs="宋体"/>
          <w:color w:val="auto"/>
          <w:spacing w:val="-3"/>
          <w:szCs w:val="21"/>
          <w:highlight w:val="none"/>
          <w:lang w:val="en-US" w:eastAsia="zh-CN"/>
        </w:rPr>
        <w:t>其他监理人员：</w:t>
      </w:r>
      <w:r>
        <w:rPr>
          <w:rFonts w:hint="eastAsia" w:ascii="宋体" w:hAnsi="宋体" w:cs="宋体"/>
          <w:color w:val="auto"/>
          <w:spacing w:val="-3"/>
          <w:szCs w:val="21"/>
          <w:highlight w:val="none"/>
        </w:rPr>
        <w:t>以上（1）、（2）项同一人员不可重复得分。</w:t>
      </w:r>
    </w:p>
    <w:p w14:paraId="2DF20D84">
      <w:pPr>
        <w:spacing w:line="360" w:lineRule="auto"/>
        <w:ind w:firstLine="816" w:firstLineChars="400"/>
        <w:outlineLvl w:val="1"/>
        <w:rPr>
          <w:rFonts w:ascii="宋体" w:hAnsi="宋体" w:cs="宋体"/>
          <w:color w:val="auto"/>
          <w:spacing w:val="1"/>
          <w:szCs w:val="21"/>
          <w:highlight w:val="none"/>
        </w:rPr>
      </w:pPr>
      <w:r>
        <w:rPr>
          <w:rFonts w:hint="eastAsia" w:ascii="宋体" w:hAnsi="宋体" w:cs="宋体"/>
          <w:color w:val="auto"/>
          <w:spacing w:val="-3"/>
          <w:szCs w:val="21"/>
          <w:highlight w:val="none"/>
        </w:rPr>
        <w:t>②若相关证照为电子证书的，须符合发证部门的使用要求。</w:t>
      </w:r>
      <w:bookmarkStart w:id="18" w:name="_Toc9672"/>
      <w:bookmarkStart w:id="19" w:name="_Toc20492"/>
      <w:bookmarkStart w:id="20" w:name="_Toc5020"/>
      <w:bookmarkStart w:id="21" w:name="_Toc6426"/>
    </w:p>
    <w:p w14:paraId="452B1E3B">
      <w:pPr>
        <w:spacing w:line="360" w:lineRule="auto"/>
        <w:outlineLvl w:val="1"/>
        <w:rPr>
          <w:color w:val="auto"/>
          <w:szCs w:val="21"/>
          <w:highlight w:val="none"/>
        </w:rPr>
      </w:pPr>
      <w:r>
        <w:rPr>
          <w:rFonts w:ascii="宋体" w:hAnsi="宋体" w:cs="宋体"/>
          <w:color w:val="auto"/>
          <w:spacing w:val="1"/>
          <w:szCs w:val="21"/>
          <w:highlight w:val="none"/>
        </w:rPr>
        <w:t>三、</w:t>
      </w:r>
      <w:bookmarkEnd w:id="18"/>
      <w:bookmarkEnd w:id="19"/>
      <w:bookmarkEnd w:id="20"/>
      <w:bookmarkEnd w:id="21"/>
      <w:bookmarkStart w:id="22" w:name="_Toc10163"/>
      <w:bookmarkStart w:id="23" w:name="_Toc21665"/>
      <w:bookmarkStart w:id="24" w:name="_Toc19913"/>
      <w:bookmarkStart w:id="25" w:name="_Toc17838"/>
      <w:r>
        <w:rPr>
          <w:rFonts w:ascii="宋体" w:hAnsi="宋体" w:cs="宋体"/>
          <w:b/>
          <w:bCs/>
          <w:color w:val="auto"/>
          <w:spacing w:val="1"/>
          <w:szCs w:val="21"/>
          <w:highlight w:val="none"/>
        </w:rPr>
        <w:t>类似工程业绩（</w:t>
      </w:r>
      <w:r>
        <w:rPr>
          <w:rFonts w:hint="eastAsia" w:ascii="宋体" w:hAnsi="宋体" w:cs="宋体"/>
          <w:b/>
          <w:bCs/>
          <w:color w:val="auto"/>
          <w:spacing w:val="1"/>
          <w:szCs w:val="21"/>
          <w:highlight w:val="none"/>
        </w:rPr>
        <w:t>8</w:t>
      </w:r>
      <w:r>
        <w:rPr>
          <w:rFonts w:ascii="宋体" w:hAnsi="宋体" w:cs="宋体"/>
          <w:b/>
          <w:bCs/>
          <w:color w:val="auto"/>
          <w:spacing w:val="1"/>
          <w:szCs w:val="21"/>
          <w:highlight w:val="none"/>
        </w:rPr>
        <w:t>分）</w:t>
      </w:r>
      <w:bookmarkEnd w:id="22"/>
      <w:bookmarkEnd w:id="23"/>
      <w:bookmarkEnd w:id="24"/>
      <w:bookmarkEnd w:id="25"/>
    </w:p>
    <w:p w14:paraId="3C9A22CD">
      <w:pPr>
        <w:spacing w:line="360" w:lineRule="auto"/>
        <w:ind w:firstLine="412" w:firstLineChars="200"/>
        <w:rPr>
          <w:rFonts w:hint="eastAsia" w:ascii="宋体" w:hAnsi="宋体" w:cs="宋体"/>
          <w:color w:val="auto"/>
          <w:kern w:val="0"/>
          <w:szCs w:val="21"/>
          <w:highlight w:val="none"/>
          <w:lang w:bidi="ar"/>
        </w:rPr>
      </w:pPr>
      <w:r>
        <w:rPr>
          <w:rFonts w:hint="eastAsia" w:ascii="宋体" w:hAnsi="宋体" w:cs="宋体"/>
          <w:color w:val="auto"/>
          <w:spacing w:val="-2"/>
          <w:szCs w:val="21"/>
          <w:highlight w:val="none"/>
        </w:rPr>
        <w:t>1、投标监理企业近五年内（从投标截止时间往前推算）监理过单份合同</w:t>
      </w:r>
      <w:r>
        <w:rPr>
          <w:rFonts w:hint="eastAsia"/>
          <w:color w:val="auto"/>
          <w:highlight w:val="none"/>
        </w:rPr>
        <w:t>建筑面积24000平方米</w:t>
      </w:r>
      <w:r>
        <w:rPr>
          <w:rFonts w:hint="eastAsia" w:ascii="宋体" w:hAnsi="宋体" w:cs="宋体"/>
          <w:color w:val="auto"/>
          <w:spacing w:val="-2"/>
          <w:szCs w:val="21"/>
          <w:highlight w:val="none"/>
        </w:rPr>
        <w:t>（不含）以上的</w:t>
      </w:r>
      <w:r>
        <w:rPr>
          <w:rFonts w:ascii="宋体" w:hAnsi="宋体" w:cs="宋体"/>
          <w:color w:val="auto"/>
          <w:spacing w:val="-2"/>
          <w:szCs w:val="21"/>
          <w:highlight w:val="none"/>
        </w:rPr>
        <w:t>并已竣工验收的</w:t>
      </w:r>
      <w:r>
        <w:rPr>
          <w:rFonts w:hint="eastAsia" w:ascii="宋体" w:hAnsi="宋体" w:cs="宋体"/>
          <w:color w:val="auto"/>
          <w:kern w:val="0"/>
          <w:szCs w:val="21"/>
          <w:highlight w:val="none"/>
          <w:lang w:bidi="ar"/>
        </w:rPr>
        <w:t>工业建筑工程业绩[分类标准按GB/T50841-2013《建筑工程分类标准》执行]</w:t>
      </w:r>
      <w:r>
        <w:rPr>
          <w:rFonts w:hint="eastAsia" w:ascii="宋体" w:hAnsi="宋体" w:cs="宋体"/>
          <w:color w:val="auto"/>
          <w:spacing w:val="-2"/>
          <w:szCs w:val="21"/>
          <w:highlight w:val="none"/>
        </w:rPr>
        <w:t>，有一个得</w:t>
      </w:r>
      <w:r>
        <w:rPr>
          <w:rFonts w:hint="eastAsia" w:ascii="宋体" w:hAnsi="宋体" w:cs="宋体"/>
          <w:color w:val="auto"/>
          <w:spacing w:val="-2"/>
          <w:szCs w:val="21"/>
          <w:highlight w:val="none"/>
          <w:lang w:val="en-US" w:eastAsia="zh-CN"/>
        </w:rPr>
        <w:t>2</w:t>
      </w:r>
      <w:r>
        <w:rPr>
          <w:rFonts w:hint="eastAsia" w:ascii="宋体" w:hAnsi="宋体" w:cs="宋体"/>
          <w:color w:val="auto"/>
          <w:spacing w:val="-2"/>
          <w:szCs w:val="21"/>
          <w:highlight w:val="none"/>
        </w:rPr>
        <w:t>分；监理过单份合同</w:t>
      </w:r>
      <w:r>
        <w:rPr>
          <w:rFonts w:hint="eastAsia"/>
          <w:color w:val="auto"/>
          <w:highlight w:val="none"/>
        </w:rPr>
        <w:t>建筑面积1</w:t>
      </w:r>
      <w:r>
        <w:rPr>
          <w:rFonts w:hint="eastAsia"/>
          <w:color w:val="auto"/>
          <w:highlight w:val="none"/>
          <w:lang w:val="en-US" w:eastAsia="zh-CN"/>
        </w:rPr>
        <w:t>6000</w:t>
      </w:r>
      <w:r>
        <w:rPr>
          <w:rFonts w:hint="eastAsia"/>
          <w:color w:val="auto"/>
          <w:highlight w:val="none"/>
        </w:rPr>
        <w:t>平方米（不含）至24000平方米</w:t>
      </w:r>
      <w:r>
        <w:rPr>
          <w:rFonts w:hint="eastAsia" w:ascii="宋体" w:hAnsi="宋体" w:cs="宋体"/>
          <w:color w:val="auto"/>
          <w:spacing w:val="-2"/>
          <w:szCs w:val="21"/>
          <w:highlight w:val="none"/>
        </w:rPr>
        <w:t>（含）的</w:t>
      </w:r>
      <w:r>
        <w:rPr>
          <w:rFonts w:ascii="宋体" w:hAnsi="宋体" w:cs="宋体"/>
          <w:color w:val="auto"/>
          <w:spacing w:val="-2"/>
          <w:szCs w:val="21"/>
          <w:highlight w:val="none"/>
        </w:rPr>
        <w:t>并已竣工验收的</w:t>
      </w:r>
      <w:r>
        <w:rPr>
          <w:rFonts w:hint="eastAsia" w:ascii="宋体" w:hAnsi="宋体" w:cs="宋体"/>
          <w:color w:val="auto"/>
          <w:kern w:val="0"/>
          <w:szCs w:val="21"/>
          <w:highlight w:val="none"/>
          <w:lang w:val="en-US" w:eastAsia="zh-CN" w:bidi="ar"/>
        </w:rPr>
        <w:t>工业建筑工程业绩</w:t>
      </w:r>
      <w:r>
        <w:rPr>
          <w:rFonts w:hint="eastAsia" w:ascii="宋体" w:hAnsi="宋体" w:cs="宋体"/>
          <w:color w:val="auto"/>
          <w:kern w:val="0"/>
          <w:szCs w:val="21"/>
          <w:highlight w:val="none"/>
          <w:lang w:bidi="ar"/>
        </w:rPr>
        <w:t>[分类标准按GB/T50841-2013《建筑工程分类标准》执行]</w:t>
      </w:r>
      <w:r>
        <w:rPr>
          <w:rFonts w:hint="eastAsia" w:ascii="宋体" w:hAnsi="宋体" w:cs="宋体"/>
          <w:color w:val="auto"/>
          <w:spacing w:val="-2"/>
          <w:szCs w:val="21"/>
          <w:highlight w:val="none"/>
        </w:rPr>
        <w:t>，有一个得</w:t>
      </w:r>
      <w:r>
        <w:rPr>
          <w:rFonts w:hint="eastAsia" w:ascii="宋体" w:hAnsi="宋体" w:cs="宋体"/>
          <w:color w:val="auto"/>
          <w:spacing w:val="-2"/>
          <w:szCs w:val="21"/>
          <w:highlight w:val="none"/>
          <w:lang w:val="en-US" w:eastAsia="zh-CN"/>
        </w:rPr>
        <w:t>1</w:t>
      </w:r>
      <w:r>
        <w:rPr>
          <w:rFonts w:hint="eastAsia" w:ascii="宋体" w:hAnsi="宋体" w:cs="宋体"/>
          <w:color w:val="auto"/>
          <w:spacing w:val="-2"/>
          <w:szCs w:val="21"/>
          <w:highlight w:val="none"/>
        </w:rPr>
        <w:t>分。本项限评</w:t>
      </w:r>
      <w:r>
        <w:rPr>
          <w:rFonts w:hint="eastAsia" w:ascii="宋体" w:hAnsi="宋体" w:cs="宋体"/>
          <w:color w:val="auto"/>
          <w:spacing w:val="-2"/>
          <w:szCs w:val="21"/>
          <w:highlight w:val="none"/>
          <w:lang w:val="en-US" w:eastAsia="zh-CN"/>
        </w:rPr>
        <w:t>2</w:t>
      </w:r>
      <w:r>
        <w:rPr>
          <w:rFonts w:hint="eastAsia" w:ascii="宋体" w:hAnsi="宋体" w:cs="宋体"/>
          <w:color w:val="auto"/>
          <w:spacing w:val="-2"/>
          <w:szCs w:val="21"/>
          <w:highlight w:val="none"/>
        </w:rPr>
        <w:t>个，最高得4分。</w:t>
      </w:r>
      <w:r>
        <w:rPr>
          <w:rFonts w:hint="eastAsia" w:ascii="宋体" w:hAnsi="宋体" w:cs="宋体"/>
          <w:color w:val="auto"/>
          <w:kern w:val="0"/>
          <w:szCs w:val="21"/>
          <w:highlight w:val="none"/>
          <w:lang w:bidi="ar"/>
        </w:rPr>
        <w:t>[分类标准按 GB/T 50841-2013《建筑工程分类标准》执行]。</w:t>
      </w:r>
    </w:p>
    <w:p w14:paraId="75EE6F35">
      <w:pPr>
        <w:spacing w:line="360" w:lineRule="auto"/>
        <w:ind w:firstLine="412"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2、投标项目总监近五年内（从投标截止时间往前推算）监理过单份合同</w:t>
      </w:r>
      <w:r>
        <w:rPr>
          <w:rFonts w:hint="eastAsia"/>
          <w:color w:val="auto"/>
          <w:highlight w:val="none"/>
        </w:rPr>
        <w:t>建筑面积24000平方米</w:t>
      </w:r>
      <w:r>
        <w:rPr>
          <w:rFonts w:hint="eastAsia" w:ascii="宋体" w:hAnsi="宋体" w:cs="宋体"/>
          <w:color w:val="auto"/>
          <w:spacing w:val="-2"/>
          <w:szCs w:val="21"/>
          <w:highlight w:val="none"/>
        </w:rPr>
        <w:t>（不含）以上的</w:t>
      </w:r>
      <w:r>
        <w:rPr>
          <w:rFonts w:ascii="宋体" w:hAnsi="宋体" w:cs="宋体"/>
          <w:color w:val="auto"/>
          <w:spacing w:val="-2"/>
          <w:szCs w:val="21"/>
          <w:highlight w:val="none"/>
        </w:rPr>
        <w:t>并已竣工验收的</w:t>
      </w:r>
      <w:r>
        <w:rPr>
          <w:rFonts w:hint="eastAsia" w:ascii="宋体" w:hAnsi="宋体" w:cs="宋体"/>
          <w:color w:val="auto"/>
          <w:kern w:val="0"/>
          <w:szCs w:val="21"/>
          <w:highlight w:val="none"/>
          <w:lang w:bidi="ar"/>
        </w:rPr>
        <w:t>工业建筑工程业绩[分类标准按GB/T50841-2013《建筑工程分类标准》执行]</w:t>
      </w:r>
      <w:r>
        <w:rPr>
          <w:rFonts w:hint="eastAsia" w:ascii="宋体" w:hAnsi="宋体" w:cs="宋体"/>
          <w:color w:val="auto"/>
          <w:spacing w:val="-2"/>
          <w:szCs w:val="21"/>
          <w:highlight w:val="none"/>
        </w:rPr>
        <w:t>，有一个得</w:t>
      </w:r>
      <w:r>
        <w:rPr>
          <w:rFonts w:hint="eastAsia" w:ascii="宋体" w:hAnsi="宋体" w:cs="宋体"/>
          <w:color w:val="auto"/>
          <w:spacing w:val="-2"/>
          <w:szCs w:val="21"/>
          <w:highlight w:val="none"/>
          <w:lang w:val="en-US" w:eastAsia="zh-CN"/>
        </w:rPr>
        <w:t>2</w:t>
      </w:r>
      <w:r>
        <w:rPr>
          <w:rFonts w:hint="eastAsia" w:ascii="宋体" w:hAnsi="宋体" w:cs="宋体"/>
          <w:color w:val="auto"/>
          <w:spacing w:val="-2"/>
          <w:szCs w:val="21"/>
          <w:highlight w:val="none"/>
        </w:rPr>
        <w:t>分；监理过单份合同</w:t>
      </w:r>
      <w:r>
        <w:rPr>
          <w:rFonts w:hint="eastAsia"/>
          <w:color w:val="auto"/>
          <w:highlight w:val="none"/>
        </w:rPr>
        <w:t>建筑面积1</w:t>
      </w:r>
      <w:r>
        <w:rPr>
          <w:rFonts w:hint="eastAsia"/>
          <w:color w:val="auto"/>
          <w:highlight w:val="none"/>
          <w:lang w:val="en-US" w:eastAsia="zh-CN"/>
        </w:rPr>
        <w:t>6000</w:t>
      </w:r>
      <w:r>
        <w:rPr>
          <w:rFonts w:hint="eastAsia"/>
          <w:color w:val="auto"/>
          <w:highlight w:val="none"/>
        </w:rPr>
        <w:t>平方米（不含）至24000平方米</w:t>
      </w:r>
      <w:r>
        <w:rPr>
          <w:rFonts w:hint="eastAsia" w:ascii="宋体" w:hAnsi="宋体" w:cs="宋体"/>
          <w:color w:val="auto"/>
          <w:spacing w:val="-2"/>
          <w:szCs w:val="21"/>
          <w:highlight w:val="none"/>
        </w:rPr>
        <w:t>（含）的</w:t>
      </w:r>
      <w:r>
        <w:rPr>
          <w:rFonts w:ascii="宋体" w:hAnsi="宋体" w:cs="宋体"/>
          <w:color w:val="auto"/>
          <w:spacing w:val="-2"/>
          <w:szCs w:val="21"/>
          <w:highlight w:val="none"/>
        </w:rPr>
        <w:t>并已竣工验收的</w:t>
      </w:r>
      <w:r>
        <w:rPr>
          <w:rFonts w:hint="eastAsia" w:ascii="宋体" w:hAnsi="宋体" w:cs="宋体"/>
          <w:color w:val="auto"/>
          <w:kern w:val="0"/>
          <w:szCs w:val="21"/>
          <w:highlight w:val="none"/>
          <w:lang w:bidi="ar"/>
        </w:rPr>
        <w:t>工业建筑工程业绩[分类标准按GB/T50841-2013《建筑工程分类标准》执行]</w:t>
      </w:r>
      <w:r>
        <w:rPr>
          <w:rFonts w:hint="eastAsia" w:ascii="宋体" w:hAnsi="宋体" w:cs="宋体"/>
          <w:color w:val="auto"/>
          <w:spacing w:val="-2"/>
          <w:szCs w:val="21"/>
          <w:highlight w:val="none"/>
        </w:rPr>
        <w:t>，有一个得</w:t>
      </w:r>
      <w:r>
        <w:rPr>
          <w:rFonts w:hint="eastAsia" w:ascii="宋体" w:hAnsi="宋体" w:cs="宋体"/>
          <w:color w:val="auto"/>
          <w:spacing w:val="-2"/>
          <w:szCs w:val="21"/>
          <w:highlight w:val="none"/>
          <w:lang w:val="en-US" w:eastAsia="zh-CN"/>
        </w:rPr>
        <w:t>1</w:t>
      </w:r>
      <w:r>
        <w:rPr>
          <w:rFonts w:hint="eastAsia" w:ascii="宋体" w:hAnsi="宋体" w:cs="宋体"/>
          <w:color w:val="auto"/>
          <w:spacing w:val="-2"/>
          <w:szCs w:val="21"/>
          <w:highlight w:val="none"/>
        </w:rPr>
        <w:t>分。本项限评</w:t>
      </w:r>
      <w:r>
        <w:rPr>
          <w:rFonts w:hint="eastAsia" w:ascii="宋体" w:hAnsi="宋体" w:cs="宋体"/>
          <w:color w:val="auto"/>
          <w:spacing w:val="-2"/>
          <w:szCs w:val="21"/>
          <w:highlight w:val="none"/>
          <w:lang w:val="en-US" w:eastAsia="zh-CN"/>
        </w:rPr>
        <w:t>2</w:t>
      </w:r>
      <w:r>
        <w:rPr>
          <w:rFonts w:hint="eastAsia" w:ascii="宋体" w:hAnsi="宋体" w:cs="宋体"/>
          <w:color w:val="auto"/>
          <w:spacing w:val="-2"/>
          <w:szCs w:val="21"/>
          <w:highlight w:val="none"/>
        </w:rPr>
        <w:t>个，最高得4分。</w:t>
      </w:r>
      <w:r>
        <w:rPr>
          <w:rFonts w:hint="eastAsia" w:ascii="宋体" w:hAnsi="宋体" w:cs="宋体"/>
          <w:color w:val="auto"/>
          <w:kern w:val="0"/>
          <w:szCs w:val="21"/>
          <w:highlight w:val="none"/>
          <w:lang w:bidi="ar"/>
        </w:rPr>
        <w:t>[分类标准按 GB/T 50841-2013《建筑工程分类标准》执行]。</w:t>
      </w:r>
    </w:p>
    <w:p w14:paraId="68F28955">
      <w:pPr>
        <w:spacing w:line="360" w:lineRule="auto"/>
        <w:ind w:firstLine="412"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说明：</w:t>
      </w:r>
    </w:p>
    <w:p w14:paraId="4A159028">
      <w:pPr>
        <w:spacing w:line="360" w:lineRule="auto"/>
        <w:ind w:firstLine="412"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（1）业绩认定时间以</w:t>
      </w:r>
      <w:r>
        <w:rPr>
          <w:rFonts w:ascii="宋体" w:hAnsi="宋体" w:cs="宋体"/>
          <w:color w:val="auto"/>
          <w:spacing w:val="-2"/>
          <w:szCs w:val="21"/>
          <w:highlight w:val="none"/>
        </w:rPr>
        <w:t>竣工验收记录</w:t>
      </w:r>
      <w:r>
        <w:rPr>
          <w:rFonts w:hint="eastAsia" w:ascii="宋体" w:hAnsi="宋体" w:cs="宋体"/>
          <w:color w:val="auto"/>
          <w:spacing w:val="-2"/>
          <w:szCs w:val="21"/>
          <w:highlight w:val="none"/>
        </w:rPr>
        <w:t>所载的时间为准。</w:t>
      </w:r>
    </w:p>
    <w:p w14:paraId="1B98536D">
      <w:pPr>
        <w:numPr>
          <w:ilvl w:val="0"/>
          <w:numId w:val="2"/>
        </w:numPr>
        <w:spacing w:line="360" w:lineRule="auto"/>
        <w:ind w:firstLine="412"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工程类型以中标通知书(或单份直接发包证明)或单份监理合同或工程竣工验收证明所载内容为准。</w:t>
      </w:r>
    </w:p>
    <w:p w14:paraId="656F15F9">
      <w:pPr>
        <w:numPr>
          <w:ilvl w:val="0"/>
          <w:numId w:val="2"/>
        </w:numPr>
        <w:spacing w:line="360" w:lineRule="auto"/>
        <w:ind w:firstLine="420" w:firstLineChars="200"/>
        <w:rPr>
          <w:rFonts w:hint="eastAsia" w:ascii="宋体" w:hAnsi="宋体" w:cs="宋体"/>
          <w:color w:val="auto"/>
          <w:spacing w:val="-2"/>
          <w:szCs w:val="21"/>
          <w:highlight w:val="none"/>
        </w:rPr>
      </w:pPr>
      <w:r>
        <w:rPr>
          <w:rFonts w:hint="eastAsia"/>
          <w:color w:val="auto"/>
          <w:highlight w:val="none"/>
        </w:rPr>
        <w:t>建筑面积</w:t>
      </w:r>
      <w:r>
        <w:rPr>
          <w:rFonts w:hint="eastAsia" w:ascii="宋体" w:hAnsi="宋体" w:cs="宋体"/>
          <w:color w:val="auto"/>
          <w:spacing w:val="-2"/>
          <w:szCs w:val="21"/>
          <w:highlight w:val="none"/>
        </w:rPr>
        <w:t>以单份中标通知书(或单份直接发包证明)或单份监理合同或工程竣工验收证明所载内容为准，如提供的上述材料反映的同一指标不一致的，以最小的指标为准。如提供的上述材料不能反映</w:t>
      </w:r>
      <w:r>
        <w:rPr>
          <w:rFonts w:hint="eastAsia"/>
          <w:color w:val="auto"/>
          <w:highlight w:val="none"/>
        </w:rPr>
        <w:t>建筑面积</w:t>
      </w:r>
      <w:r>
        <w:rPr>
          <w:rFonts w:hint="eastAsia" w:ascii="宋体" w:hAnsi="宋体" w:cs="宋体"/>
          <w:color w:val="auto"/>
          <w:spacing w:val="-2"/>
          <w:szCs w:val="21"/>
          <w:highlight w:val="none"/>
        </w:rPr>
        <w:t>的，另需提供该项目的施工合同，以施工合同所载内容为准。</w:t>
      </w:r>
    </w:p>
    <w:p w14:paraId="161FF250">
      <w:pPr>
        <w:numPr>
          <w:ilvl w:val="0"/>
          <w:numId w:val="2"/>
        </w:numPr>
        <w:spacing w:line="360" w:lineRule="auto"/>
        <w:ind w:firstLine="412" w:firstLineChars="200"/>
        <w:rPr>
          <w:rFonts w:ascii="宋体" w:hAnsi="宋体" w:cs="宋体"/>
          <w:color w:val="auto"/>
          <w:spacing w:val="-2"/>
          <w:szCs w:val="21"/>
          <w:highlight w:val="none"/>
        </w:rPr>
      </w:pPr>
      <w:r>
        <w:rPr>
          <w:rFonts w:hint="eastAsia" w:ascii="宋体" w:hAnsi="宋体" w:cs="宋体"/>
          <w:color w:val="auto"/>
          <w:spacing w:val="-2"/>
          <w:szCs w:val="21"/>
          <w:highlight w:val="none"/>
        </w:rPr>
        <w:t>拟派总监理工程师以单份中标通知书（或单份直接发包证明）或单份监理合同所载为准。</w:t>
      </w:r>
    </w:p>
    <w:p w14:paraId="36AA8573">
      <w:pPr>
        <w:numPr>
          <w:ilvl w:val="0"/>
          <w:numId w:val="2"/>
        </w:numPr>
        <w:spacing w:line="360" w:lineRule="auto"/>
        <w:ind w:firstLine="412"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总监理工程师相关业绩不是投标人承担的工程项目，不得作为总监理工程师类似工程业绩。</w:t>
      </w:r>
    </w:p>
    <w:p w14:paraId="30E4B632">
      <w:pPr>
        <w:numPr>
          <w:ilvl w:val="0"/>
          <w:numId w:val="2"/>
        </w:numPr>
        <w:spacing w:line="360" w:lineRule="auto"/>
        <w:ind w:firstLine="412"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总监理工程师发生过变更的，个人业绩归变更后的总监理工程师所有。投标人需提供总监理工程师变更材料：需提供《江苏省建设工程项目监理机构总监理工程师变更申报表》及其扫描表上二维码显示的信息材料；若没有《江苏省建设工程项目监理机构总监理工程师变更申报表》，请提供总监理工程师变更有关材料（内容清晰、载明申请单位、工程名称、工程地点、变更事项、当前工程形象进度，以及建设行政主管部门、建设单位、施工单位意见）。</w:t>
      </w:r>
    </w:p>
    <w:p w14:paraId="5F7ECACE">
      <w:pPr>
        <w:numPr>
          <w:ilvl w:val="0"/>
          <w:numId w:val="2"/>
        </w:numPr>
        <w:spacing w:line="360" w:lineRule="auto"/>
        <w:ind w:firstLine="412"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如相关业绩既是投标人承担的项目同时又是投标总监理工程师的业绩，仅按最高得分项计分一次，不重复计分。</w:t>
      </w:r>
    </w:p>
    <w:p w14:paraId="01B0EFF7">
      <w:pPr>
        <w:numPr>
          <w:ilvl w:val="0"/>
          <w:numId w:val="2"/>
        </w:numPr>
        <w:adjustRightInd w:val="0"/>
        <w:snapToGrid w:val="0"/>
        <w:spacing w:line="360" w:lineRule="auto"/>
        <w:ind w:firstLine="412" w:firstLineChars="200"/>
        <w:rPr>
          <w:rFonts w:hint="eastAsia" w:ascii="宋体" w:hAnsi="宋体" w:cs="宋体"/>
          <w:color w:val="auto"/>
          <w:spacing w:val="-2"/>
          <w:szCs w:val="21"/>
          <w:highlight w:val="none"/>
        </w:rPr>
      </w:pPr>
      <w:r>
        <w:rPr>
          <w:rFonts w:ascii="宋体" w:hAnsi="宋体" w:cs="宋体"/>
          <w:color w:val="auto"/>
          <w:spacing w:val="-2"/>
          <w:szCs w:val="21"/>
          <w:highlight w:val="none"/>
        </w:rPr>
        <w:t>以上业绩需提供以下业绩证明材料</w:t>
      </w:r>
      <w:r>
        <w:rPr>
          <w:rFonts w:hint="eastAsia" w:ascii="宋体" w:hAnsi="宋体" w:cs="宋体"/>
          <w:color w:val="auto"/>
          <w:spacing w:val="-2"/>
          <w:szCs w:val="21"/>
          <w:highlight w:val="none"/>
        </w:rPr>
        <w:t>原件</w:t>
      </w:r>
      <w:r>
        <w:rPr>
          <w:rFonts w:ascii="宋体" w:hAnsi="宋体" w:cs="宋体"/>
          <w:color w:val="auto"/>
          <w:spacing w:val="-2"/>
          <w:szCs w:val="21"/>
          <w:highlight w:val="none"/>
        </w:rPr>
        <w:t>，否则视为无效业绩：</w:t>
      </w:r>
    </w:p>
    <w:p w14:paraId="20E89164">
      <w:pPr>
        <w:spacing w:line="360" w:lineRule="auto"/>
        <w:ind w:firstLine="412" w:firstLineChars="2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①中标通知书（或直接发包证明）；</w:t>
      </w:r>
    </w:p>
    <w:p w14:paraId="063261FE">
      <w:pPr>
        <w:spacing w:line="360" w:lineRule="auto"/>
        <w:ind w:firstLine="412" w:firstLineChars="2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②监理合同；</w:t>
      </w:r>
    </w:p>
    <w:p w14:paraId="09DCFD97">
      <w:pPr>
        <w:spacing w:line="360" w:lineRule="auto"/>
        <w:ind w:firstLine="412" w:firstLineChars="2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③竣工验收记录（竣工验收记录需经建设单位、施工单位、监理单位、设计单位四方签字并加盖公章）；</w:t>
      </w:r>
    </w:p>
    <w:p w14:paraId="25B3C0D0">
      <w:pPr>
        <w:spacing w:line="360" w:lineRule="auto"/>
        <w:ind w:firstLine="412" w:firstLineChars="2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④总监理工程师变更材料（如有）；</w:t>
      </w:r>
    </w:p>
    <w:p w14:paraId="724440BD">
      <w:pPr>
        <w:spacing w:line="360" w:lineRule="auto"/>
        <w:ind w:firstLine="412" w:firstLineChars="2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⑤施工合同（如有）；</w:t>
      </w:r>
    </w:p>
    <w:p w14:paraId="405BEA4E">
      <w:pPr>
        <w:spacing w:line="360" w:lineRule="auto"/>
        <w:ind w:firstLine="412" w:firstLineChars="2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⑥建设单位出具的证明材料（如有）。</w:t>
      </w:r>
    </w:p>
    <w:p w14:paraId="6AD07545">
      <w:pPr>
        <w:spacing w:line="360" w:lineRule="auto"/>
        <w:ind w:firstLine="412" w:firstLineChars="2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注：1）如上述材料无法完全反映本次业绩所要求的相应技术指标则另需提供</w:t>
      </w:r>
      <w:bookmarkStart w:id="26" w:name="_Hlk173412044"/>
      <w:r>
        <w:rPr>
          <w:rFonts w:hint="eastAsia" w:ascii="宋体" w:hAnsi="宋体" w:eastAsia="宋体" w:cs="宋体"/>
          <w:color w:val="auto"/>
          <w:spacing w:val="-2"/>
          <w:szCs w:val="21"/>
          <w:highlight w:val="none"/>
        </w:rPr>
        <w:t>建设单位出具的证明材料</w:t>
      </w:r>
      <w:bookmarkEnd w:id="26"/>
      <w:r>
        <w:rPr>
          <w:rFonts w:hint="eastAsia" w:ascii="宋体" w:hAnsi="宋体" w:eastAsia="宋体" w:cs="宋体"/>
          <w:color w:val="auto"/>
          <w:spacing w:val="-2"/>
          <w:szCs w:val="21"/>
          <w:highlight w:val="none"/>
        </w:rPr>
        <w:t>（格式详见附件）；</w:t>
      </w:r>
    </w:p>
    <w:p w14:paraId="020F6DFF">
      <w:pPr>
        <w:spacing w:line="360" w:lineRule="auto"/>
        <w:ind w:firstLine="412" w:firstLineChars="2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2）如投标人提供的类似工程业绩是联合体合同业绩，则投标人必须为合同联合体牵头人，且其在联合协议中承担的工作内容必须满足业绩相关指标要求，联合体牵头人还需提供①类似工程业绩中联合体协议书。联合体其他成员单位业绩不予认可。</w:t>
      </w:r>
    </w:p>
    <w:p w14:paraId="2664E38B">
      <w:pPr>
        <w:spacing w:line="360" w:lineRule="auto"/>
        <w:outlineLvl w:val="1"/>
        <w:rPr>
          <w:b/>
          <w:bCs/>
          <w:color w:val="auto"/>
          <w:szCs w:val="21"/>
          <w:highlight w:val="none"/>
        </w:rPr>
      </w:pPr>
      <w:bookmarkStart w:id="27" w:name="_Toc2140"/>
      <w:bookmarkStart w:id="28" w:name="_Toc13950"/>
      <w:bookmarkStart w:id="29" w:name="_Toc4054"/>
      <w:bookmarkStart w:id="30" w:name="_Toc29595"/>
      <w:r>
        <w:rPr>
          <w:rFonts w:hint="eastAsia" w:ascii="宋体" w:hAnsi="宋体" w:cs="宋体"/>
          <w:b/>
          <w:bCs/>
          <w:color w:val="auto"/>
          <w:spacing w:val="1"/>
          <w:szCs w:val="21"/>
          <w:highlight w:val="none"/>
          <w:lang w:val="en-US" w:eastAsia="zh-CN"/>
        </w:rPr>
        <w:t>四</w:t>
      </w:r>
      <w:r>
        <w:rPr>
          <w:rFonts w:ascii="宋体" w:hAnsi="宋体" w:cs="宋体"/>
          <w:b/>
          <w:bCs/>
          <w:color w:val="auto"/>
          <w:spacing w:val="1"/>
          <w:szCs w:val="21"/>
          <w:highlight w:val="none"/>
        </w:rPr>
        <w:t>、定标办法：</w:t>
      </w:r>
      <w:bookmarkEnd w:id="27"/>
      <w:bookmarkEnd w:id="28"/>
      <w:bookmarkEnd w:id="29"/>
      <w:bookmarkEnd w:id="30"/>
    </w:p>
    <w:p w14:paraId="0D27E68A">
      <w:pPr>
        <w:spacing w:line="360" w:lineRule="auto"/>
        <w:ind w:firstLine="424" w:firstLineChars="200"/>
        <w:outlineLvl w:val="2"/>
        <w:rPr>
          <w:rFonts w:ascii="宋体" w:hAnsi="宋体" w:cs="宋体"/>
          <w:color w:val="auto"/>
          <w:spacing w:val="1"/>
          <w:szCs w:val="21"/>
          <w:highlight w:val="none"/>
        </w:rPr>
      </w:pPr>
      <w:bookmarkStart w:id="31" w:name="_Toc18413"/>
      <w:bookmarkStart w:id="32" w:name="_Toc3085"/>
      <w:bookmarkStart w:id="33" w:name="_Toc24074"/>
      <w:bookmarkStart w:id="34" w:name="_Toc20573"/>
      <w:r>
        <w:rPr>
          <w:rFonts w:ascii="宋体" w:hAnsi="宋体" w:cs="宋体"/>
          <w:color w:val="auto"/>
          <w:spacing w:val="1"/>
          <w:szCs w:val="21"/>
          <w:highlight w:val="none"/>
        </w:rPr>
        <w:t>1、在所有有效投标文件中综合得分最高者为第一中标候选人。</w:t>
      </w:r>
      <w:bookmarkEnd w:id="31"/>
      <w:bookmarkEnd w:id="32"/>
      <w:bookmarkEnd w:id="33"/>
      <w:bookmarkEnd w:id="34"/>
    </w:p>
    <w:p w14:paraId="2BBFA8F0">
      <w:pPr>
        <w:spacing w:line="360" w:lineRule="auto"/>
        <w:ind w:firstLine="432" w:firstLineChars="200"/>
        <w:rPr>
          <w:rFonts w:ascii="宋体" w:hAnsi="宋体" w:cs="宋体"/>
          <w:color w:val="auto"/>
          <w:spacing w:val="1"/>
          <w:szCs w:val="21"/>
          <w:highlight w:val="none"/>
        </w:rPr>
      </w:pPr>
      <w:r>
        <w:rPr>
          <w:rFonts w:ascii="宋体" w:hAnsi="宋体" w:cs="宋体"/>
          <w:color w:val="auto"/>
          <w:spacing w:val="3"/>
          <w:szCs w:val="21"/>
          <w:highlight w:val="none"/>
        </w:rPr>
        <w:t>2、若最高综合得分相同，则选择投标报价低的单位为第一中标候选人；</w:t>
      </w:r>
      <w:r>
        <w:rPr>
          <w:rFonts w:ascii="宋体" w:hAnsi="宋体" w:cs="宋体"/>
          <w:color w:val="auto"/>
          <w:spacing w:val="1"/>
          <w:szCs w:val="21"/>
          <w:highlight w:val="none"/>
        </w:rPr>
        <w:t>若最高综合得分相同，投标报价相同，由最终得分相同的单位以开标记录表从前往后顺序抽签确定中标候选人。</w:t>
      </w:r>
    </w:p>
    <w:p w14:paraId="0B37A47B">
      <w:pPr>
        <w:spacing w:line="360" w:lineRule="auto"/>
        <w:ind w:firstLine="432" w:firstLineChars="200"/>
        <w:rPr>
          <w:color w:val="auto"/>
          <w:szCs w:val="21"/>
          <w:highlight w:val="none"/>
        </w:rPr>
      </w:pPr>
      <w:r>
        <w:rPr>
          <w:rFonts w:ascii="宋体" w:hAnsi="宋体" w:cs="宋体"/>
          <w:color w:val="auto"/>
          <w:spacing w:val="3"/>
          <w:szCs w:val="21"/>
          <w:highlight w:val="none"/>
        </w:rPr>
        <w:t>3、投标人、项目负责人及其联合体中任何一个成员在“信用中国</w:t>
      </w:r>
      <w:r>
        <w:rPr>
          <w:rFonts w:ascii="宋体" w:hAnsi="宋体" w:cs="宋体"/>
          <w:color w:val="auto"/>
          <w:szCs w:val="21"/>
          <w:highlight w:val="none"/>
        </w:rPr>
        <w:t>（</w:t>
      </w:r>
      <w:r>
        <w:rPr>
          <w:rFonts w:ascii="宋体" w:hAnsi="宋体" w:cs="宋体"/>
          <w:color w:val="auto"/>
          <w:spacing w:val="1"/>
          <w:szCs w:val="21"/>
          <w:highlight w:val="none"/>
        </w:rPr>
        <w:t>www.creditchina.gov.cn）</w:t>
      </w:r>
      <w:r>
        <w:rPr>
          <w:rFonts w:ascii="宋体" w:hAnsi="宋体" w:cs="宋体"/>
          <w:color w:val="auto"/>
          <w:szCs w:val="21"/>
          <w:highlight w:val="none"/>
        </w:rPr>
        <w:t>网站上被公布为失信被执行人的，评标委员会不得推荐其为“中标候选人”。在评标结束前，评标委员会</w:t>
      </w:r>
      <w:r>
        <w:rPr>
          <w:rFonts w:ascii="宋体" w:hAnsi="宋体" w:cs="宋体"/>
          <w:color w:val="auto"/>
          <w:spacing w:val="1"/>
          <w:szCs w:val="21"/>
          <w:highlight w:val="none"/>
        </w:rPr>
        <w:t>应在“信用中国”（www.creditchina.gov.cn）网站上对拟推荐为“中标候选人”的信用情况进行查询。投标人正被列为失信被执行人等情形的，评标委员会不得推荐为“中标候选人”；取消拟推荐为“中标候选人”资格后，评标委员会应按评标排名进行依次递补。</w:t>
      </w:r>
    </w:p>
    <w:p w14:paraId="53513C7E">
      <w:pPr>
        <w:spacing w:line="360" w:lineRule="auto"/>
        <w:ind w:firstLine="426" w:firstLineChars="200"/>
        <w:rPr>
          <w:rFonts w:ascii="宋体" w:hAnsi="宋体" w:cs="宋体"/>
          <w:b/>
          <w:bCs/>
          <w:color w:val="auto"/>
          <w:spacing w:val="1"/>
          <w:szCs w:val="21"/>
          <w:highlight w:val="none"/>
        </w:rPr>
      </w:pPr>
      <w:r>
        <w:rPr>
          <w:rFonts w:ascii="宋体" w:hAnsi="宋体" w:cs="宋体"/>
          <w:b/>
          <w:bCs/>
          <w:color w:val="auto"/>
          <w:spacing w:val="1"/>
          <w:szCs w:val="21"/>
          <w:highlight w:val="none"/>
        </w:rPr>
        <w:t>注意事项：</w:t>
      </w:r>
    </w:p>
    <w:p w14:paraId="097F6F7D">
      <w:pPr>
        <w:spacing w:line="360" w:lineRule="auto"/>
        <w:ind w:firstLine="434" w:firstLineChars="200"/>
        <w:rPr>
          <w:rFonts w:ascii="宋体" w:hAnsi="宋体" w:cs="宋体"/>
          <w:b/>
          <w:bCs/>
          <w:color w:val="auto"/>
          <w:spacing w:val="3"/>
          <w:szCs w:val="21"/>
          <w:highlight w:val="none"/>
        </w:rPr>
      </w:pPr>
      <w:r>
        <w:rPr>
          <w:rFonts w:hint="eastAsia" w:ascii="宋体" w:hAnsi="宋体" w:cs="宋体"/>
          <w:b/>
          <w:bCs/>
          <w:color w:val="auto"/>
          <w:spacing w:val="3"/>
          <w:szCs w:val="21"/>
          <w:highlight w:val="none"/>
        </w:rPr>
        <w:t>1</w:t>
      </w:r>
      <w:r>
        <w:rPr>
          <w:rFonts w:ascii="宋体" w:hAnsi="宋体" w:cs="宋体"/>
          <w:b/>
          <w:bCs/>
          <w:color w:val="auto"/>
          <w:spacing w:val="3"/>
          <w:szCs w:val="21"/>
          <w:highlight w:val="none"/>
        </w:rPr>
        <w:t>、一旦发现中标单位存在非法转包、转让、挂靠等行为的，将依法进行处理，给招标人造成损失的，依法承担赔偿责任。</w:t>
      </w:r>
    </w:p>
    <w:p w14:paraId="77FB9246">
      <w:pPr>
        <w:tabs>
          <w:tab w:val="left" w:pos="5940"/>
        </w:tabs>
        <w:snapToGrid w:val="0"/>
        <w:spacing w:line="360" w:lineRule="auto"/>
        <w:ind w:firstLine="434" w:firstLineChars="200"/>
        <w:jc w:val="left"/>
        <w:rPr>
          <w:rFonts w:ascii="宋体" w:hAnsi="宋体" w:cs="宋体"/>
          <w:b/>
          <w:color w:val="auto"/>
          <w:szCs w:val="21"/>
          <w:highlight w:val="none"/>
        </w:rPr>
      </w:pPr>
      <w:r>
        <w:rPr>
          <w:rFonts w:hint="eastAsia" w:ascii="宋体" w:hAnsi="宋体" w:cs="宋体"/>
          <w:b/>
          <w:bCs/>
          <w:color w:val="auto"/>
          <w:spacing w:val="3"/>
          <w:szCs w:val="21"/>
          <w:highlight w:val="none"/>
        </w:rPr>
        <w:t>2、</w:t>
      </w:r>
      <w:r>
        <w:rPr>
          <w:rFonts w:ascii="宋体" w:hAnsi="宋体" w:cs="宋体"/>
          <w:b/>
          <w:bCs/>
          <w:color w:val="auto"/>
          <w:spacing w:val="3"/>
          <w:szCs w:val="21"/>
          <w:highlight w:val="none"/>
        </w:rPr>
        <w:t>本工程招标公告中的评标办法与招标文件中的评标办法不一致时，以招标公告中的评标办法为准</w:t>
      </w:r>
      <w:r>
        <w:rPr>
          <w:rFonts w:hint="eastAsia" w:ascii="宋体" w:hAnsi="宋体" w:cs="宋体"/>
          <w:b/>
          <w:color w:val="auto"/>
          <w:szCs w:val="21"/>
          <w:highlight w:val="none"/>
        </w:rPr>
        <w:t>。</w:t>
      </w:r>
    </w:p>
    <w:p w14:paraId="1E70DE79">
      <w:pPr>
        <w:spacing w:line="360" w:lineRule="auto"/>
        <w:jc w:val="center"/>
        <w:outlineLvl w:val="2"/>
        <w:rPr>
          <w:rFonts w:ascii="宋体" w:hAnsi="宋体" w:cs="宋体"/>
          <w:b/>
          <w:bCs/>
          <w:color w:val="auto"/>
          <w:spacing w:val="1"/>
          <w:sz w:val="40"/>
          <w:szCs w:val="40"/>
          <w:highlight w:val="none"/>
        </w:rPr>
      </w:pPr>
      <w:r>
        <w:rPr>
          <w:color w:val="auto"/>
          <w:highlight w:val="none"/>
        </w:rPr>
        <w:br w:type="page"/>
      </w:r>
      <w:bookmarkStart w:id="35" w:name="_Toc30572"/>
      <w:bookmarkStart w:id="36" w:name="_Toc30684"/>
      <w:bookmarkStart w:id="37" w:name="_Toc31495"/>
      <w:bookmarkStart w:id="38" w:name="_Toc9344"/>
      <w:r>
        <w:rPr>
          <w:rFonts w:ascii="宋体" w:hAnsi="宋体" w:cs="宋体"/>
          <w:b/>
          <w:bCs/>
          <w:color w:val="auto"/>
          <w:spacing w:val="1"/>
          <w:sz w:val="40"/>
          <w:szCs w:val="40"/>
          <w:highlight w:val="none"/>
        </w:rPr>
        <w:t>监理机构主要管理人员配备要求</w:t>
      </w:r>
      <w:bookmarkEnd w:id="35"/>
      <w:bookmarkEnd w:id="36"/>
      <w:bookmarkEnd w:id="37"/>
      <w:bookmarkEnd w:id="38"/>
    </w:p>
    <w:p w14:paraId="3B67007F">
      <w:pPr>
        <w:spacing w:before="191"/>
        <w:ind w:left="6"/>
        <w:rPr>
          <w:rFonts w:ascii="宋体" w:hAnsi="宋体" w:cs="宋体"/>
          <w:b/>
          <w:bCs/>
          <w:color w:val="auto"/>
          <w:spacing w:val="1"/>
          <w:sz w:val="24"/>
          <w:szCs w:val="24"/>
          <w:highlight w:val="none"/>
        </w:rPr>
      </w:pPr>
      <w:r>
        <w:rPr>
          <w:rFonts w:ascii="宋体" w:hAnsi="宋体" w:cs="宋体"/>
          <w:color w:val="auto"/>
          <w:sz w:val="24"/>
          <w:szCs w:val="24"/>
          <w:highlight w:val="none"/>
        </w:rPr>
        <w:t>施工阶段监理单位派驻到现场的监理人员（含总监）总人数应符合下表要求：</w:t>
      </w:r>
    </w:p>
    <w:tbl>
      <w:tblPr>
        <w:tblStyle w:val="3"/>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4"/>
        <w:gridCol w:w="2261"/>
        <w:gridCol w:w="3544"/>
      </w:tblGrid>
      <w:tr w14:paraId="1877E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94" w:type="dxa"/>
            <w:noWrap w:val="0"/>
            <w:vAlign w:val="center"/>
          </w:tcPr>
          <w:p w14:paraId="61A202E7">
            <w:pPr>
              <w:jc w:val="center"/>
              <w:rPr>
                <w:rFonts w:ascii="宋体" w:hAnsi="宋体"/>
                <w:color w:val="auto"/>
                <w:sz w:val="28"/>
                <w:szCs w:val="28"/>
                <w:highlight w:val="none"/>
              </w:rPr>
            </w:pPr>
            <w:r>
              <w:rPr>
                <w:rFonts w:hint="eastAsia" w:ascii="宋体" w:hAnsi="宋体" w:cs="宋体"/>
                <w:color w:val="auto"/>
                <w:sz w:val="28"/>
                <w:szCs w:val="28"/>
                <w:highlight w:val="none"/>
              </w:rPr>
              <w:t>岗</w:t>
            </w:r>
            <w:r>
              <w:rPr>
                <w:rFonts w:ascii="宋体" w:hAnsi="宋体"/>
                <w:color w:val="auto"/>
                <w:sz w:val="28"/>
                <w:szCs w:val="28"/>
                <w:highlight w:val="none"/>
              </w:rPr>
              <w:t>位</w:t>
            </w:r>
          </w:p>
        </w:tc>
        <w:tc>
          <w:tcPr>
            <w:tcW w:w="2261" w:type="dxa"/>
            <w:noWrap w:val="0"/>
            <w:vAlign w:val="center"/>
          </w:tcPr>
          <w:p w14:paraId="743652A9">
            <w:pPr>
              <w:jc w:val="center"/>
              <w:rPr>
                <w:rFonts w:ascii="宋体" w:hAnsi="宋体"/>
                <w:color w:val="auto"/>
                <w:sz w:val="28"/>
                <w:szCs w:val="28"/>
                <w:highlight w:val="none"/>
              </w:rPr>
            </w:pPr>
            <w:r>
              <w:rPr>
                <w:rFonts w:hint="eastAsia" w:ascii="宋体" w:hAnsi="宋体" w:cs="宋体"/>
                <w:color w:val="auto"/>
                <w:sz w:val="28"/>
                <w:szCs w:val="28"/>
                <w:highlight w:val="none"/>
              </w:rPr>
              <w:t>人</w:t>
            </w:r>
            <w:r>
              <w:rPr>
                <w:rFonts w:hint="eastAsia" w:ascii="宋体" w:hAnsi="宋体"/>
                <w:color w:val="auto"/>
                <w:sz w:val="28"/>
                <w:szCs w:val="28"/>
                <w:highlight w:val="none"/>
              </w:rPr>
              <w:t>员要求</w:t>
            </w:r>
          </w:p>
        </w:tc>
        <w:tc>
          <w:tcPr>
            <w:tcW w:w="3544" w:type="dxa"/>
            <w:noWrap w:val="0"/>
            <w:vAlign w:val="center"/>
          </w:tcPr>
          <w:p w14:paraId="1DEE8B43">
            <w:pPr>
              <w:jc w:val="center"/>
              <w:rPr>
                <w:rFonts w:ascii="宋体" w:hAnsi="宋体"/>
                <w:color w:val="auto"/>
                <w:sz w:val="28"/>
                <w:szCs w:val="28"/>
                <w:highlight w:val="none"/>
              </w:rPr>
            </w:pPr>
            <w:r>
              <w:rPr>
                <w:rFonts w:hint="eastAsia" w:ascii="宋体" w:hAnsi="宋体" w:cs="宋体"/>
                <w:color w:val="auto"/>
                <w:sz w:val="28"/>
                <w:szCs w:val="28"/>
                <w:highlight w:val="none"/>
              </w:rPr>
              <w:t>持</w:t>
            </w:r>
            <w:r>
              <w:rPr>
                <w:rFonts w:ascii="宋体" w:hAnsi="宋体"/>
                <w:color w:val="auto"/>
                <w:sz w:val="28"/>
                <w:szCs w:val="28"/>
                <w:highlight w:val="none"/>
              </w:rPr>
              <w:t>证上岗要求</w:t>
            </w:r>
          </w:p>
        </w:tc>
      </w:tr>
      <w:tr w14:paraId="402B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94" w:type="dxa"/>
            <w:noWrap w:val="0"/>
            <w:vAlign w:val="center"/>
          </w:tcPr>
          <w:p w14:paraId="6162AAAB">
            <w:pPr>
              <w:jc w:val="center"/>
              <w:rPr>
                <w:rFonts w:ascii="宋体" w:hAnsi="宋体"/>
                <w:color w:val="auto"/>
                <w:sz w:val="28"/>
                <w:szCs w:val="28"/>
                <w:highlight w:val="none"/>
              </w:rPr>
            </w:pPr>
            <w:r>
              <w:rPr>
                <w:rFonts w:hint="eastAsia" w:ascii="宋体" w:hAnsi="宋体" w:cs="宋体"/>
                <w:color w:val="auto"/>
                <w:sz w:val="28"/>
                <w:szCs w:val="28"/>
                <w:highlight w:val="none"/>
              </w:rPr>
              <w:t>总</w:t>
            </w:r>
            <w:r>
              <w:rPr>
                <w:rFonts w:ascii="宋体" w:hAnsi="宋体"/>
                <w:color w:val="auto"/>
                <w:sz w:val="28"/>
                <w:szCs w:val="28"/>
                <w:highlight w:val="none"/>
              </w:rPr>
              <w:t>监理工程师</w:t>
            </w:r>
          </w:p>
        </w:tc>
        <w:tc>
          <w:tcPr>
            <w:tcW w:w="2261" w:type="dxa"/>
            <w:noWrap w:val="0"/>
            <w:vAlign w:val="center"/>
          </w:tcPr>
          <w:p w14:paraId="3EA2B658">
            <w:pPr>
              <w:jc w:val="center"/>
              <w:rPr>
                <w:rFonts w:ascii="宋体" w:hAnsi="宋体"/>
                <w:color w:val="auto"/>
                <w:sz w:val="28"/>
                <w:szCs w:val="28"/>
                <w:highlight w:val="none"/>
              </w:rPr>
            </w:pPr>
            <w:r>
              <w:rPr>
                <w:rFonts w:hint="eastAsia" w:ascii="宋体" w:hAnsi="宋体"/>
                <w:color w:val="auto"/>
                <w:sz w:val="28"/>
                <w:szCs w:val="28"/>
                <w:highlight w:val="none"/>
              </w:rPr>
              <w:t>1名</w:t>
            </w:r>
          </w:p>
        </w:tc>
        <w:tc>
          <w:tcPr>
            <w:tcW w:w="3544" w:type="dxa"/>
            <w:noWrap w:val="0"/>
            <w:vAlign w:val="center"/>
          </w:tcPr>
          <w:p w14:paraId="6EA91F13">
            <w:pPr>
              <w:jc w:val="center"/>
              <w:rPr>
                <w:rFonts w:ascii="宋体" w:hAnsi="宋体" w:cs="宋体"/>
                <w:color w:val="auto"/>
                <w:sz w:val="28"/>
                <w:szCs w:val="28"/>
                <w:highlight w:val="none"/>
              </w:rPr>
            </w:pPr>
            <w:r>
              <w:rPr>
                <w:rFonts w:hint="eastAsia" w:ascii="宋体" w:hAnsi="宋体" w:cs="宋体"/>
                <w:color w:val="auto"/>
                <w:sz w:val="28"/>
                <w:szCs w:val="28"/>
                <w:highlight w:val="none"/>
              </w:rPr>
              <w:t>国</w:t>
            </w:r>
            <w:r>
              <w:rPr>
                <w:rFonts w:ascii="宋体" w:hAnsi="宋体" w:cs="宋体"/>
                <w:color w:val="auto"/>
                <w:sz w:val="28"/>
                <w:szCs w:val="28"/>
                <w:highlight w:val="none"/>
              </w:rPr>
              <w:t>家注册监理工程师</w:t>
            </w:r>
          </w:p>
          <w:p w14:paraId="357B36A1">
            <w:pPr>
              <w:ind w:left="-103" w:leftChars="-49" w:right="-107" w:rightChars="-51"/>
              <w:jc w:val="center"/>
              <w:rPr>
                <w:rFonts w:ascii="宋体" w:hAnsi="宋体" w:cs="宋体"/>
                <w:color w:val="auto"/>
                <w:sz w:val="28"/>
                <w:szCs w:val="28"/>
                <w:highlight w:val="none"/>
              </w:rPr>
            </w:pPr>
            <w:r>
              <w:rPr>
                <w:rFonts w:hint="eastAsia" w:ascii="宋体" w:hAnsi="宋体" w:cs="宋体"/>
                <w:color w:val="auto"/>
                <w:sz w:val="28"/>
                <w:szCs w:val="28"/>
                <w:highlight w:val="none"/>
              </w:rPr>
              <w:t>（注册专业为房屋建筑工程）</w:t>
            </w:r>
          </w:p>
        </w:tc>
      </w:tr>
      <w:tr w14:paraId="0037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94" w:type="dxa"/>
            <w:noWrap w:val="0"/>
            <w:vAlign w:val="center"/>
          </w:tcPr>
          <w:p w14:paraId="2DB0DBA5">
            <w:pPr>
              <w:jc w:val="center"/>
              <w:rPr>
                <w:rFonts w:ascii="宋体" w:hAnsi="宋体"/>
                <w:color w:val="auto"/>
                <w:sz w:val="28"/>
                <w:szCs w:val="28"/>
                <w:highlight w:val="none"/>
              </w:rPr>
            </w:pPr>
            <w:r>
              <w:rPr>
                <w:rFonts w:hint="eastAsia" w:ascii="宋体" w:hAnsi="宋体" w:cs="宋体"/>
                <w:color w:val="auto"/>
                <w:sz w:val="28"/>
                <w:szCs w:val="28"/>
                <w:highlight w:val="none"/>
              </w:rPr>
              <w:t>拟</w:t>
            </w:r>
            <w:r>
              <w:rPr>
                <w:rFonts w:ascii="宋体" w:hAnsi="宋体"/>
                <w:color w:val="auto"/>
                <w:sz w:val="28"/>
                <w:szCs w:val="28"/>
                <w:highlight w:val="none"/>
              </w:rPr>
              <w:t>配备其他监理人员</w:t>
            </w:r>
          </w:p>
        </w:tc>
        <w:tc>
          <w:tcPr>
            <w:tcW w:w="2261" w:type="dxa"/>
            <w:noWrap w:val="0"/>
            <w:vAlign w:val="center"/>
          </w:tcPr>
          <w:p w14:paraId="675F0B4D">
            <w:pPr>
              <w:jc w:val="center"/>
              <w:rPr>
                <w:rFonts w:ascii="宋体" w:hAnsi="宋体"/>
                <w:color w:val="auto"/>
                <w:sz w:val="28"/>
                <w:szCs w:val="28"/>
                <w:highlight w:val="none"/>
              </w:rPr>
            </w:pPr>
            <w:r>
              <w:rPr>
                <w:rFonts w:hint="eastAsia" w:ascii="宋体" w:hAnsi="宋体"/>
                <w:color w:val="auto"/>
                <w:sz w:val="28"/>
                <w:szCs w:val="28"/>
                <w:highlight w:val="none"/>
              </w:rPr>
              <w:t>3</w:t>
            </w:r>
            <w:r>
              <w:rPr>
                <w:rFonts w:ascii="宋体" w:hAnsi="宋体"/>
                <w:color w:val="auto"/>
                <w:sz w:val="28"/>
                <w:szCs w:val="28"/>
                <w:highlight w:val="none"/>
              </w:rPr>
              <w:t>名</w:t>
            </w:r>
          </w:p>
        </w:tc>
        <w:tc>
          <w:tcPr>
            <w:tcW w:w="3544" w:type="dxa"/>
            <w:noWrap w:val="0"/>
            <w:vAlign w:val="center"/>
          </w:tcPr>
          <w:p w14:paraId="07CBA910">
            <w:pPr>
              <w:jc w:val="center"/>
              <w:rPr>
                <w:rFonts w:ascii="宋体" w:hAnsi="宋体"/>
                <w:color w:val="auto"/>
                <w:sz w:val="28"/>
                <w:szCs w:val="28"/>
                <w:highlight w:val="none"/>
              </w:rPr>
            </w:pPr>
          </w:p>
        </w:tc>
      </w:tr>
      <w:tr w14:paraId="2AFD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94" w:type="dxa"/>
            <w:noWrap w:val="0"/>
            <w:vAlign w:val="center"/>
          </w:tcPr>
          <w:p w14:paraId="2C7BDC78">
            <w:pPr>
              <w:jc w:val="center"/>
              <w:rPr>
                <w:rFonts w:ascii="宋体" w:hAnsi="宋体"/>
                <w:color w:val="auto"/>
                <w:sz w:val="28"/>
                <w:szCs w:val="28"/>
                <w:highlight w:val="none"/>
              </w:rPr>
            </w:pPr>
            <w:r>
              <w:rPr>
                <w:rFonts w:hint="eastAsia" w:ascii="宋体" w:hAnsi="宋体" w:cs="宋体"/>
                <w:color w:val="auto"/>
                <w:sz w:val="28"/>
                <w:szCs w:val="28"/>
                <w:highlight w:val="none"/>
              </w:rPr>
              <w:t>总</w:t>
            </w:r>
            <w:r>
              <w:rPr>
                <w:rFonts w:hint="eastAsia" w:ascii="宋体" w:hAnsi="宋体"/>
                <w:color w:val="auto"/>
                <w:sz w:val="28"/>
                <w:szCs w:val="28"/>
                <w:highlight w:val="none"/>
              </w:rPr>
              <w:t>计</w:t>
            </w:r>
          </w:p>
        </w:tc>
        <w:tc>
          <w:tcPr>
            <w:tcW w:w="2261" w:type="dxa"/>
            <w:noWrap w:val="0"/>
            <w:vAlign w:val="center"/>
          </w:tcPr>
          <w:p w14:paraId="646C9C94">
            <w:pPr>
              <w:jc w:val="center"/>
              <w:rPr>
                <w:rFonts w:ascii="宋体" w:hAnsi="宋体"/>
                <w:color w:val="auto"/>
                <w:sz w:val="28"/>
                <w:szCs w:val="28"/>
                <w:highlight w:val="none"/>
              </w:rPr>
            </w:pPr>
            <w:r>
              <w:rPr>
                <w:rFonts w:hint="eastAsia" w:ascii="宋体" w:hAnsi="宋体"/>
                <w:color w:val="auto"/>
                <w:sz w:val="28"/>
                <w:szCs w:val="28"/>
                <w:highlight w:val="none"/>
              </w:rPr>
              <w:t>4</w:t>
            </w:r>
            <w:r>
              <w:rPr>
                <w:rFonts w:ascii="宋体" w:hAnsi="宋体"/>
                <w:color w:val="auto"/>
                <w:sz w:val="28"/>
                <w:szCs w:val="28"/>
                <w:highlight w:val="none"/>
              </w:rPr>
              <w:t>名</w:t>
            </w:r>
          </w:p>
        </w:tc>
        <w:tc>
          <w:tcPr>
            <w:tcW w:w="3544" w:type="dxa"/>
            <w:noWrap w:val="0"/>
            <w:vAlign w:val="center"/>
          </w:tcPr>
          <w:p w14:paraId="589203AA">
            <w:pPr>
              <w:jc w:val="center"/>
              <w:rPr>
                <w:rFonts w:ascii="宋体" w:hAnsi="宋体"/>
                <w:color w:val="auto"/>
                <w:sz w:val="28"/>
                <w:szCs w:val="28"/>
                <w:highlight w:val="none"/>
              </w:rPr>
            </w:pPr>
          </w:p>
        </w:tc>
      </w:tr>
    </w:tbl>
    <w:p w14:paraId="2600059B">
      <w:pPr>
        <w:spacing w:line="360" w:lineRule="auto"/>
        <w:rPr>
          <w:rFonts w:ascii="宋体" w:hAnsi="宋体" w:cs="宋体"/>
          <w:color w:val="auto"/>
          <w:sz w:val="28"/>
          <w:szCs w:val="28"/>
          <w:highlight w:val="none"/>
          <w:lang w:bidi="ar"/>
        </w:rPr>
      </w:pPr>
    </w:p>
    <w:p w14:paraId="5E984BA4">
      <w:pPr>
        <w:spacing w:line="360" w:lineRule="auto"/>
        <w:rPr>
          <w:rFonts w:ascii="宋体" w:hAnsi="宋体" w:cs="宋体"/>
          <w:color w:val="auto"/>
          <w:sz w:val="28"/>
          <w:szCs w:val="28"/>
          <w:highlight w:val="none"/>
          <w:lang w:bidi="ar"/>
        </w:rPr>
      </w:pPr>
      <w:r>
        <w:rPr>
          <w:rFonts w:hint="eastAsia" w:ascii="宋体" w:hAnsi="宋体" w:cs="宋体"/>
          <w:color w:val="auto"/>
          <w:sz w:val="28"/>
          <w:szCs w:val="28"/>
          <w:highlight w:val="none"/>
          <w:lang w:bidi="ar"/>
        </w:rPr>
        <w:t>注：1.中标单位可根据工程实际需要及时投入人员，未经建设单位同意，不得更换上述人员，所有监理人员均须身体健康，年龄不得超过 65 周岁。</w:t>
      </w:r>
    </w:p>
    <w:p w14:paraId="736D5DC2">
      <w:pPr>
        <w:pStyle w:val="2"/>
        <w:rPr>
          <w:rFonts w:ascii="宋体" w:hAnsi="宋体" w:cs="宋体"/>
          <w:color w:val="auto"/>
          <w:sz w:val="28"/>
          <w:szCs w:val="28"/>
          <w:highlight w:val="none"/>
          <w:lang w:bidi="ar"/>
        </w:rPr>
      </w:pPr>
      <w:r>
        <w:rPr>
          <w:rFonts w:hint="eastAsia" w:ascii="宋体" w:hAnsi="宋体" w:cs="宋体"/>
          <w:color w:val="auto"/>
          <w:sz w:val="28"/>
          <w:szCs w:val="28"/>
          <w:highlight w:val="none"/>
          <w:lang w:bidi="ar"/>
        </w:rPr>
        <w:t>2.上述人员配置还需满足江苏省住房和城乡建设厅公告〔2017〕第 35 号、江苏省住房和城乡建设厅公告〔2017〕第 36 号等文件规定。</w:t>
      </w:r>
    </w:p>
    <w:p w14:paraId="1DEAA83B">
      <w:pPr>
        <w:rPr>
          <w:rFonts w:hint="eastAsia"/>
          <w:color w:val="auto"/>
          <w:highlight w:val="none"/>
          <w:lang w:bidi="ar"/>
        </w:rPr>
      </w:pPr>
    </w:p>
    <w:p w14:paraId="43E5644F">
      <w:pPr>
        <w:autoSpaceDE w:val="0"/>
        <w:autoSpaceDN w:val="0"/>
        <w:spacing w:line="500" w:lineRule="exact"/>
        <w:ind w:firstLine="422" w:firstLineChars="200"/>
        <w:rPr>
          <w:rFonts w:hint="eastAsia" w:ascii="宋体" w:hAnsi="宋体" w:cs="宋体"/>
          <w:b/>
          <w:bCs/>
          <w:color w:val="auto"/>
          <w:szCs w:val="21"/>
          <w:highlight w:val="none"/>
        </w:rPr>
      </w:pPr>
      <w:bookmarkStart w:id="39" w:name="OLE_LINK3"/>
      <w:bookmarkStart w:id="40" w:name="OLE_LINK4"/>
    </w:p>
    <w:p w14:paraId="179064BC">
      <w:pPr>
        <w:pStyle w:val="2"/>
        <w:rPr>
          <w:rFonts w:hint="eastAsia" w:ascii="宋体" w:hAnsi="宋体" w:cs="宋体"/>
          <w:b/>
          <w:bCs/>
          <w:color w:val="auto"/>
          <w:szCs w:val="21"/>
          <w:highlight w:val="none"/>
        </w:rPr>
      </w:pPr>
    </w:p>
    <w:p w14:paraId="17800BF1">
      <w:pPr>
        <w:rPr>
          <w:rFonts w:hint="eastAsia" w:ascii="宋体" w:hAnsi="宋体" w:cs="宋体"/>
          <w:b/>
          <w:bCs/>
          <w:color w:val="auto"/>
          <w:szCs w:val="21"/>
          <w:highlight w:val="none"/>
        </w:rPr>
      </w:pPr>
    </w:p>
    <w:p w14:paraId="7B70FA24">
      <w:pPr>
        <w:pStyle w:val="2"/>
        <w:rPr>
          <w:rFonts w:hint="eastAsia" w:ascii="宋体" w:hAnsi="宋体" w:cs="宋体"/>
          <w:b/>
          <w:bCs/>
          <w:color w:val="auto"/>
          <w:szCs w:val="21"/>
          <w:highlight w:val="none"/>
        </w:rPr>
      </w:pPr>
    </w:p>
    <w:p w14:paraId="6F6BB7FD">
      <w:pPr>
        <w:rPr>
          <w:rFonts w:hint="eastAsia" w:ascii="宋体" w:hAnsi="宋体" w:cs="宋体"/>
          <w:b/>
          <w:bCs/>
          <w:color w:val="auto"/>
          <w:szCs w:val="21"/>
          <w:highlight w:val="none"/>
        </w:rPr>
      </w:pPr>
    </w:p>
    <w:p w14:paraId="2AFCDCAF">
      <w:pPr>
        <w:pStyle w:val="2"/>
        <w:rPr>
          <w:rFonts w:hint="eastAsia" w:ascii="宋体" w:hAnsi="宋体" w:cs="宋体"/>
          <w:b/>
          <w:bCs/>
          <w:color w:val="auto"/>
          <w:szCs w:val="21"/>
          <w:highlight w:val="none"/>
        </w:rPr>
      </w:pPr>
    </w:p>
    <w:p w14:paraId="697F2F95">
      <w:pPr>
        <w:rPr>
          <w:rFonts w:hint="eastAsia"/>
          <w:color w:val="auto"/>
          <w:highlight w:val="none"/>
        </w:rPr>
      </w:pPr>
    </w:p>
    <w:p w14:paraId="40A7CFDB">
      <w:pPr>
        <w:pStyle w:val="2"/>
        <w:rPr>
          <w:rFonts w:hint="eastAsia"/>
          <w:color w:val="auto"/>
          <w:highlight w:val="none"/>
        </w:rPr>
      </w:pPr>
    </w:p>
    <w:p w14:paraId="3BA24D95">
      <w:pPr>
        <w:rPr>
          <w:rFonts w:hint="eastAsia"/>
          <w:color w:val="auto"/>
          <w:highlight w:val="none"/>
        </w:rPr>
      </w:pPr>
    </w:p>
    <w:p w14:paraId="5C152F76">
      <w:pPr>
        <w:pStyle w:val="2"/>
        <w:rPr>
          <w:rFonts w:hint="eastAsia"/>
          <w:color w:val="auto"/>
          <w:highlight w:val="none"/>
        </w:rPr>
      </w:pPr>
    </w:p>
    <w:p w14:paraId="37A8CE36">
      <w:pPr>
        <w:rPr>
          <w:rFonts w:hint="eastAsia"/>
          <w:color w:val="auto"/>
          <w:highlight w:val="none"/>
        </w:rPr>
      </w:pPr>
    </w:p>
    <w:p w14:paraId="0BDCA73F">
      <w:pPr>
        <w:pStyle w:val="2"/>
        <w:rPr>
          <w:rFonts w:hint="eastAsia"/>
          <w:color w:val="auto"/>
          <w:highlight w:val="none"/>
        </w:rPr>
      </w:pPr>
    </w:p>
    <w:p w14:paraId="559CD7D6">
      <w:pPr>
        <w:rPr>
          <w:rFonts w:hint="eastAsia"/>
          <w:color w:val="auto"/>
          <w:highlight w:val="none"/>
        </w:rPr>
      </w:pPr>
    </w:p>
    <w:p w14:paraId="2A84F65C">
      <w:pPr>
        <w:pStyle w:val="2"/>
        <w:rPr>
          <w:rFonts w:hint="eastAsia"/>
          <w:color w:val="auto"/>
          <w:highlight w:val="none"/>
        </w:rPr>
      </w:pPr>
    </w:p>
    <w:p w14:paraId="710E492D">
      <w:pPr>
        <w:rPr>
          <w:rFonts w:hint="eastAsia"/>
          <w:color w:val="auto"/>
          <w:highlight w:val="none"/>
        </w:rPr>
      </w:pPr>
    </w:p>
    <w:p w14:paraId="1D462BE0">
      <w:pPr>
        <w:pStyle w:val="2"/>
        <w:rPr>
          <w:rFonts w:hint="eastAsia"/>
          <w:color w:val="auto"/>
          <w:highlight w:val="none"/>
        </w:rPr>
      </w:pPr>
    </w:p>
    <w:p w14:paraId="185970F3">
      <w:pPr>
        <w:rPr>
          <w:rFonts w:hint="eastAsia"/>
          <w:color w:val="auto"/>
          <w:highlight w:val="none"/>
        </w:rPr>
      </w:pPr>
    </w:p>
    <w:bookmarkEnd w:id="39"/>
    <w:bookmarkEnd w:id="40"/>
    <w:p w14:paraId="4FCF27BA">
      <w:pPr>
        <w:autoSpaceDE w:val="0"/>
        <w:autoSpaceDN w:val="0"/>
        <w:spacing w:line="500" w:lineRule="exact"/>
        <w:rPr>
          <w:rFonts w:ascii="宋体" w:hAnsi="宋体" w:cs="宋体"/>
          <w:color w:val="auto"/>
          <w:szCs w:val="21"/>
          <w:highlight w:val="none"/>
        </w:rPr>
      </w:pPr>
      <w:r>
        <w:rPr>
          <w:rFonts w:hint="eastAsia" w:ascii="宋体" w:hAnsi="宋体" w:cs="宋体"/>
          <w:b/>
          <w:bCs/>
          <w:color w:val="auto"/>
          <w:szCs w:val="21"/>
          <w:highlight w:val="none"/>
        </w:rPr>
        <w:t>附件二：</w:t>
      </w:r>
    </w:p>
    <w:p w14:paraId="1590E5BF">
      <w:pPr>
        <w:pStyle w:val="9"/>
        <w:spacing w:line="500" w:lineRule="exact"/>
        <w:jc w:val="center"/>
        <w:rPr>
          <w:rFonts w:ascii="宋体" w:hAnsi="宋体"/>
          <w:b/>
          <w:color w:val="auto"/>
          <w:sz w:val="44"/>
          <w:szCs w:val="44"/>
          <w:highlight w:val="none"/>
        </w:rPr>
      </w:pPr>
      <w:r>
        <w:rPr>
          <w:rFonts w:hint="eastAsia" w:ascii="宋体" w:hAnsi="宋体"/>
          <w:b/>
          <w:color w:val="auto"/>
          <w:sz w:val="44"/>
          <w:szCs w:val="44"/>
          <w:highlight w:val="none"/>
        </w:rPr>
        <w:t>投标保证金说明（线下缴纳）</w:t>
      </w:r>
    </w:p>
    <w:p w14:paraId="3A72AA17">
      <w:pPr>
        <w:spacing w:line="500" w:lineRule="exact"/>
        <w:rPr>
          <w:rFonts w:ascii="宋体" w:hAnsi="宋体"/>
          <w:color w:val="auto"/>
          <w:szCs w:val="21"/>
          <w:highlight w:val="none"/>
        </w:rPr>
      </w:pPr>
    </w:p>
    <w:p w14:paraId="77181AB2">
      <w:pPr>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单位应按规定的金额递交投标保证金。投标单位应充分考虑投标保证金在途时间，确保投标保证金在本次投标截止时间前到达投标保证金专用账户。如投标保证金在本次投标截止时间前未到账（以我司财务部确认到账为准），作未缴纳投标保证金处理。</w:t>
      </w:r>
    </w:p>
    <w:p w14:paraId="63B41B8F">
      <w:pPr>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2、投标保证金专用账户（请勿汇错，否则后果自负）</w:t>
      </w:r>
    </w:p>
    <w:p w14:paraId="393ECEA3">
      <w:pPr>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收款单位：</w:t>
      </w:r>
      <w:r>
        <w:rPr>
          <w:rFonts w:hint="eastAsia" w:ascii="宋体" w:hAnsi="宋体" w:eastAsia="宋体" w:cs="宋体"/>
          <w:color w:val="auto"/>
          <w:szCs w:val="21"/>
          <w:highlight w:val="none"/>
          <w:lang w:eastAsia="zh-CN"/>
        </w:rPr>
        <w:t>常州新航动力装备开发有限公司</w:t>
      </w:r>
    </w:p>
    <w:p w14:paraId="3728401B">
      <w:pPr>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eastAsia="宋体" w:cs="宋体"/>
          <w:color w:val="auto"/>
          <w:szCs w:val="21"/>
          <w:highlight w:val="none"/>
          <w:lang w:eastAsia="zh-CN"/>
        </w:rPr>
        <w:t>工行常州新区支行</w:t>
      </w:r>
    </w:p>
    <w:p w14:paraId="58C39999">
      <w:pPr>
        <w:snapToGrid w:val="0"/>
        <w:spacing w:line="5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银行账号：</w:t>
      </w:r>
      <w:r>
        <w:rPr>
          <w:rFonts w:hint="eastAsia" w:ascii="宋体" w:hAnsi="宋体" w:eastAsia="宋体" w:cs="宋体"/>
          <w:color w:val="auto"/>
          <w:szCs w:val="21"/>
          <w:highlight w:val="none"/>
          <w:lang w:eastAsia="zh-CN"/>
        </w:rPr>
        <w:t>1105021609001263160</w:t>
      </w:r>
    </w:p>
    <w:p w14:paraId="0E386A3A">
      <w:pPr>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3、投标保证金金额：人民币</w:t>
      </w:r>
      <w:r>
        <w:rPr>
          <w:rFonts w:hint="eastAsia" w:ascii="宋体" w:hAnsi="宋体" w:cs="宋体"/>
          <w:color w:val="auto"/>
          <w:szCs w:val="21"/>
          <w:highlight w:val="none"/>
          <w:lang w:val="en-US" w:eastAsia="zh-CN"/>
        </w:rPr>
        <w:t>9000</w:t>
      </w:r>
      <w:r>
        <w:rPr>
          <w:rFonts w:hint="eastAsia" w:ascii="宋体" w:hAnsi="宋体" w:cs="宋体"/>
          <w:color w:val="auto"/>
          <w:szCs w:val="21"/>
          <w:highlight w:val="none"/>
        </w:rPr>
        <w:t>元整</w:t>
      </w:r>
    </w:p>
    <w:p w14:paraId="32EFA7D4">
      <w:pPr>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4、投标保证金缴纳方式（选择</w:t>
      </w:r>
      <w:r>
        <w:rPr>
          <w:rFonts w:hint="eastAsia" w:ascii="宋体" w:hAnsi="宋体" w:cs="宋体"/>
          <w:color w:val="auto"/>
          <w:szCs w:val="21"/>
          <w:highlight w:val="none"/>
          <w:u w:val="single"/>
        </w:rPr>
        <w:t xml:space="preserve"> ① </w:t>
      </w:r>
      <w:r>
        <w:rPr>
          <w:rFonts w:hint="eastAsia" w:ascii="宋体" w:hAnsi="宋体" w:cs="宋体"/>
          <w:color w:val="auto"/>
          <w:szCs w:val="21"/>
          <w:highlight w:val="none"/>
        </w:rPr>
        <w:t>）</w:t>
      </w:r>
    </w:p>
    <w:p w14:paraId="23B1C520">
      <w:pPr>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①投标单位采用</w:t>
      </w:r>
      <w:r>
        <w:rPr>
          <w:rFonts w:hint="eastAsia" w:ascii="宋体" w:hAnsi="宋体" w:cs="Arial"/>
          <w:color w:val="auto"/>
          <w:kern w:val="0"/>
          <w:szCs w:val="21"/>
          <w:highlight w:val="none"/>
        </w:rPr>
        <w:t>电汇、网上银行</w:t>
      </w:r>
      <w:r>
        <w:rPr>
          <w:rFonts w:hint="eastAsia" w:ascii="宋体" w:hAnsi="宋体" w:cs="宋体"/>
          <w:color w:val="auto"/>
          <w:szCs w:val="21"/>
          <w:highlight w:val="none"/>
        </w:rPr>
        <w:t>等方式将保证金从投标单位账户缴至“投标保证金专用账户”，然后凭银行回单加盖公司公章作为投保保证金缴纳证明，转账、电汇需备注项目名称及标段号（若有）投标保证金。</w:t>
      </w:r>
    </w:p>
    <w:p w14:paraId="0148A9AA">
      <w:pPr>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②投标单位采用银行保函方式提交。</w:t>
      </w:r>
    </w:p>
    <w:p w14:paraId="088EAC1A">
      <w:pPr>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③投标单位采用经相关部门认定的有资质的专业担保公司</w:t>
      </w:r>
      <w:r>
        <w:rPr>
          <w:rFonts w:hint="eastAsia" w:ascii="宋体" w:hAnsi="宋体" w:cs="Arial"/>
          <w:color w:val="auto"/>
          <w:kern w:val="0"/>
          <w:szCs w:val="21"/>
          <w:highlight w:val="none"/>
        </w:rPr>
        <w:t>（</w:t>
      </w:r>
      <w:r>
        <w:rPr>
          <w:rFonts w:hint="eastAsia" w:ascii="宋体" w:hAnsi="宋体" w:cs="宋体"/>
          <w:color w:val="auto"/>
          <w:szCs w:val="21"/>
          <w:highlight w:val="none"/>
        </w:rPr>
        <w:t>专业担保公司名单网址详见：</w:t>
      </w:r>
      <w:r>
        <w:rPr>
          <w:rFonts w:ascii="宋体" w:hAnsi="宋体" w:cs="宋体"/>
          <w:color w:val="auto"/>
          <w:szCs w:val="21"/>
          <w:highlight w:val="none"/>
        </w:rPr>
        <w:fldChar w:fldCharType="begin"/>
      </w:r>
      <w:r>
        <w:rPr>
          <w:rFonts w:ascii="宋体" w:hAnsi="宋体" w:cs="宋体"/>
          <w:color w:val="auto"/>
          <w:szCs w:val="21"/>
          <w:highlight w:val="none"/>
        </w:rPr>
        <w:instrText xml:space="preserve">HYPERLINK "http://ggzy.xzsp.changzhou.gov.cn/tbbhjrjgjs/jgxxindex.html"</w:instrText>
      </w:r>
      <w:r>
        <w:rPr>
          <w:rFonts w:ascii="宋体" w:hAnsi="宋体" w:cs="宋体"/>
          <w:color w:val="auto"/>
          <w:szCs w:val="21"/>
          <w:highlight w:val="none"/>
        </w:rPr>
        <w:fldChar w:fldCharType="separate"/>
      </w:r>
      <w:r>
        <w:rPr>
          <w:rStyle w:val="5"/>
          <w:rFonts w:ascii="宋体" w:hAnsi="宋体" w:cs="宋体"/>
          <w:color w:val="auto"/>
          <w:szCs w:val="21"/>
          <w:highlight w:val="none"/>
        </w:rPr>
        <w:t>http://ggzy.xzsp.changzhou.gov.cn/tbbhjrjgjs/jgxxindex.html</w:t>
      </w:r>
      <w:r>
        <w:rPr>
          <w:rFonts w:ascii="宋体" w:hAnsi="宋体" w:cs="宋体"/>
          <w:color w:val="auto"/>
          <w:szCs w:val="21"/>
          <w:highlight w:val="none"/>
        </w:rPr>
        <w:fldChar w:fldCharType="end"/>
      </w:r>
      <w:r>
        <w:rPr>
          <w:rFonts w:hint="eastAsia" w:ascii="宋体" w:hAnsi="宋体" w:cs="宋体"/>
          <w:color w:val="auto"/>
          <w:szCs w:val="21"/>
          <w:highlight w:val="none"/>
        </w:rPr>
        <w:t>）投标保函方式提交。</w:t>
      </w:r>
    </w:p>
    <w:p w14:paraId="6419B001">
      <w:pPr>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5、缴纳保证金注意事项：</w:t>
      </w:r>
      <w:r>
        <w:rPr>
          <w:rFonts w:ascii="宋体" w:hAnsi="宋体"/>
          <w:color w:val="auto"/>
          <w:szCs w:val="21"/>
          <w:highlight w:val="none"/>
        </w:rPr>
        <w:t>必须在</w:t>
      </w:r>
      <w:r>
        <w:rPr>
          <w:rFonts w:hint="eastAsia" w:ascii="宋体" w:hAnsi="宋体"/>
          <w:color w:val="auto"/>
          <w:szCs w:val="21"/>
          <w:highlight w:val="none"/>
        </w:rPr>
        <w:t>保证金到账</w:t>
      </w:r>
      <w:r>
        <w:rPr>
          <w:rFonts w:ascii="宋体" w:hAnsi="宋体"/>
          <w:color w:val="auto"/>
          <w:szCs w:val="21"/>
          <w:highlight w:val="none"/>
        </w:rPr>
        <w:t>截止时间前完成缴纳</w:t>
      </w:r>
      <w:r>
        <w:rPr>
          <w:rFonts w:hint="eastAsia" w:ascii="宋体" w:hAnsi="宋体" w:cs="宋体"/>
          <w:color w:val="auto"/>
          <w:szCs w:val="21"/>
          <w:highlight w:val="none"/>
        </w:rPr>
        <w:t>。</w:t>
      </w:r>
    </w:p>
    <w:p w14:paraId="76759F4A">
      <w:pPr>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6、投标保证金的退还时间（选择 ③）</w:t>
      </w:r>
    </w:p>
    <w:p w14:paraId="7290A2AB">
      <w:pPr>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①中标人的投标保证金在签订合同后自动转为履约保证金； </w:t>
      </w:r>
    </w:p>
    <w:p w14:paraId="636D9F67">
      <w:pPr>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②</w:t>
      </w:r>
      <w:r>
        <w:rPr>
          <w:rFonts w:hint="eastAsia" w:ascii="宋体" w:hAnsi="宋体" w:cs="宋体"/>
          <w:color w:val="auto"/>
          <w:szCs w:val="21"/>
          <w:highlight w:val="none"/>
        </w:rPr>
        <w:t>中标人的投标保证金或投标（银行）保函，在签订合同后5个工作日内退还；</w:t>
      </w:r>
    </w:p>
    <w:p w14:paraId="3A94F030">
      <w:pPr>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③</w:t>
      </w:r>
      <w:r>
        <w:rPr>
          <w:rFonts w:hint="eastAsia" w:ascii="宋体" w:hAnsi="宋体" w:cs="宋体"/>
          <w:color w:val="auto"/>
          <w:szCs w:val="21"/>
          <w:highlight w:val="none"/>
        </w:rPr>
        <w:t>非排名前三名的投标人</w:t>
      </w:r>
      <w:r>
        <w:rPr>
          <w:rFonts w:ascii="宋体" w:hAnsi="宋体" w:cs="宋体"/>
          <w:color w:val="auto"/>
          <w:szCs w:val="21"/>
          <w:highlight w:val="none"/>
        </w:rPr>
        <w:t>保证金</w:t>
      </w:r>
      <w:r>
        <w:rPr>
          <w:rFonts w:hint="eastAsia" w:ascii="宋体" w:hAnsi="宋体" w:cs="宋体"/>
          <w:color w:val="auto"/>
          <w:szCs w:val="21"/>
          <w:highlight w:val="none"/>
        </w:rPr>
        <w:t>或投标（银行）保函，</w:t>
      </w:r>
      <w:r>
        <w:rPr>
          <w:rFonts w:ascii="宋体" w:hAnsi="宋体" w:cs="宋体"/>
          <w:color w:val="auto"/>
          <w:szCs w:val="21"/>
          <w:highlight w:val="none"/>
        </w:rPr>
        <w:t>在中标公示结束</w:t>
      </w:r>
      <w:r>
        <w:rPr>
          <w:rFonts w:hint="eastAsia" w:ascii="宋体" w:hAnsi="宋体" w:cs="宋体"/>
          <w:color w:val="auto"/>
          <w:szCs w:val="21"/>
          <w:highlight w:val="none"/>
        </w:rPr>
        <w:t>5</w:t>
      </w:r>
      <w:r>
        <w:rPr>
          <w:rFonts w:ascii="宋体" w:hAnsi="宋体" w:cs="宋体"/>
          <w:color w:val="auto"/>
          <w:szCs w:val="21"/>
          <w:highlight w:val="none"/>
        </w:rPr>
        <w:t>个工作日</w:t>
      </w:r>
      <w:r>
        <w:rPr>
          <w:rFonts w:hint="eastAsia" w:ascii="宋体" w:hAnsi="宋体" w:cs="宋体"/>
          <w:color w:val="auto"/>
          <w:szCs w:val="21"/>
          <w:highlight w:val="none"/>
        </w:rPr>
        <w:t>内</w:t>
      </w:r>
      <w:r>
        <w:rPr>
          <w:rFonts w:ascii="宋体" w:hAnsi="宋体" w:cs="宋体"/>
          <w:color w:val="auto"/>
          <w:szCs w:val="21"/>
          <w:highlight w:val="none"/>
        </w:rPr>
        <w:t>退还；</w:t>
      </w:r>
      <w:r>
        <w:rPr>
          <w:rFonts w:hint="eastAsia" w:ascii="宋体" w:hAnsi="宋体" w:cs="宋体"/>
          <w:color w:val="auto"/>
          <w:szCs w:val="21"/>
          <w:highlight w:val="none"/>
        </w:rPr>
        <w:t>排名前三名的中标候选人（中标人除外）的投标保证金或投标（银行）保函，在招标人与中标人签订合同后5个工作日内退还。</w:t>
      </w:r>
    </w:p>
    <w:p w14:paraId="19ADEEB6">
      <w:pPr>
        <w:snapToGrid w:val="0"/>
        <w:spacing w:line="500" w:lineRule="exact"/>
        <w:ind w:firstLine="420" w:firstLineChars="200"/>
        <w:rPr>
          <w:color w:val="auto"/>
          <w:highlight w:val="none"/>
        </w:rPr>
      </w:pPr>
      <w:r>
        <w:rPr>
          <w:rFonts w:hint="eastAsia" w:ascii="宋体" w:hAnsi="宋体" w:cs="宋体"/>
          <w:color w:val="auto"/>
          <w:szCs w:val="21"/>
          <w:highlight w:val="none"/>
        </w:rPr>
        <w:t>7、未尽事宜按《关于贯彻落实国家、省关于完善招标投标交易担保制度进一步降低招标投标交易成本相关要求的通知》（常发改[2023]161号）等文件要求执行。</w:t>
      </w:r>
    </w:p>
    <w:p w14:paraId="59FA37CF">
      <w:pPr>
        <w:rPr>
          <w:rFonts w:ascii="宋体" w:hAnsi="宋体"/>
          <w:b/>
          <w:bCs/>
          <w:color w:val="auto"/>
          <w:highlight w:val="none"/>
        </w:rPr>
      </w:pPr>
      <w:r>
        <w:rPr>
          <w:rFonts w:ascii="宋体" w:hAnsi="宋体"/>
          <w:b/>
          <w:bCs/>
          <w:color w:val="auto"/>
          <w:highlight w:val="none"/>
        </w:rPr>
        <w:br w:type="page"/>
      </w:r>
      <w:r>
        <w:rPr>
          <w:rFonts w:hint="eastAsia" w:ascii="宋体" w:hAnsi="宋体"/>
          <w:b/>
          <w:bCs/>
          <w:color w:val="auto"/>
          <w:highlight w:val="none"/>
        </w:rPr>
        <w:t>附件三：</w:t>
      </w:r>
    </w:p>
    <w:p w14:paraId="244EC214">
      <w:pPr>
        <w:pStyle w:val="2"/>
        <w:tabs>
          <w:tab w:val="left" w:pos="5060"/>
          <w:tab w:val="left" w:pos="5720"/>
        </w:tabs>
        <w:spacing w:before="4"/>
        <w:ind w:left="1182" w:right="520"/>
        <w:jc w:val="center"/>
        <w:rPr>
          <w:rFonts w:hint="eastAsia"/>
          <w:b/>
          <w:bCs/>
          <w:color w:val="auto"/>
          <w:spacing w:val="-1"/>
          <w:sz w:val="36"/>
          <w:szCs w:val="36"/>
          <w:highlight w:val="none"/>
        </w:rPr>
      </w:pPr>
      <w:r>
        <w:rPr>
          <w:rFonts w:hint="eastAsia"/>
          <w:b/>
          <w:bCs/>
          <w:color w:val="auto"/>
          <w:spacing w:val="-1"/>
          <w:sz w:val="36"/>
          <w:szCs w:val="36"/>
          <w:highlight w:val="none"/>
        </w:rPr>
        <w:t>项目情况及拟投入项目监理部人员承诺书</w:t>
      </w:r>
    </w:p>
    <w:p w14:paraId="7FC954A1">
      <w:pPr>
        <w:pStyle w:val="2"/>
        <w:tabs>
          <w:tab w:val="left" w:pos="5060"/>
          <w:tab w:val="left" w:pos="5720"/>
        </w:tabs>
        <w:spacing w:before="4"/>
        <w:ind w:left="-142" w:right="520"/>
        <w:rPr>
          <w:rFonts w:hint="eastAsia"/>
          <w:color w:val="auto"/>
          <w:spacing w:val="-3"/>
          <w:sz w:val="24"/>
          <w:highlight w:val="none"/>
        </w:rPr>
      </w:pPr>
      <w:r>
        <w:rPr>
          <w:rFonts w:hint="eastAsia"/>
          <w:color w:val="auto"/>
          <w:spacing w:val="-1"/>
          <w:sz w:val="24"/>
          <w:highlight w:val="none"/>
        </w:rPr>
        <w:t>工程名称</w:t>
      </w:r>
      <w:r>
        <w:rPr>
          <w:rFonts w:hint="eastAsia"/>
          <w:color w:val="auto"/>
          <w:spacing w:val="-3"/>
          <w:sz w:val="24"/>
          <w:highlight w:val="none"/>
        </w:rPr>
        <w:t>：</w:t>
      </w:r>
    </w:p>
    <w:p w14:paraId="3D38738D">
      <w:pPr>
        <w:pStyle w:val="2"/>
        <w:tabs>
          <w:tab w:val="left" w:pos="5060"/>
          <w:tab w:val="left" w:pos="5720"/>
        </w:tabs>
        <w:spacing w:before="4"/>
        <w:ind w:left="-142" w:right="80"/>
        <w:rPr>
          <w:rFonts w:hint="eastAsia"/>
          <w:color w:val="auto"/>
          <w:spacing w:val="-3"/>
          <w:sz w:val="24"/>
          <w:highlight w:val="none"/>
        </w:rPr>
      </w:pPr>
      <w:r>
        <w:rPr>
          <w:rFonts w:hint="eastAsia"/>
          <w:color w:val="auto"/>
          <w:spacing w:val="-1"/>
          <w:sz w:val="24"/>
          <w:highlight w:val="none"/>
        </w:rPr>
        <w:t>工程地址</w:t>
      </w:r>
      <w:r>
        <w:rPr>
          <w:rFonts w:hint="eastAsia"/>
          <w:color w:val="auto"/>
          <w:spacing w:val="-3"/>
          <w:sz w:val="24"/>
          <w:highlight w:val="none"/>
        </w:rPr>
        <w:t>：</w:t>
      </w:r>
    </w:p>
    <w:p w14:paraId="2D92A3E4">
      <w:pPr>
        <w:pStyle w:val="2"/>
        <w:tabs>
          <w:tab w:val="left" w:pos="5060"/>
          <w:tab w:val="left" w:pos="5720"/>
        </w:tabs>
        <w:spacing w:before="4"/>
        <w:ind w:left="-142" w:right="80"/>
        <w:rPr>
          <w:rFonts w:hint="eastAsia"/>
          <w:color w:val="auto"/>
          <w:spacing w:val="-3"/>
          <w:sz w:val="24"/>
          <w:highlight w:val="none"/>
        </w:rPr>
      </w:pPr>
      <w:r>
        <w:rPr>
          <w:rFonts w:hint="eastAsia"/>
          <w:color w:val="auto"/>
          <w:spacing w:val="-1"/>
          <w:sz w:val="24"/>
          <w:highlight w:val="none"/>
        </w:rPr>
        <w:t>工程造价</w:t>
      </w:r>
      <w:r>
        <w:rPr>
          <w:rFonts w:hint="eastAsia"/>
          <w:color w:val="auto"/>
          <w:spacing w:val="-3"/>
          <w:sz w:val="24"/>
          <w:highlight w:val="none"/>
        </w:rPr>
        <w:t>：</w:t>
      </w:r>
    </w:p>
    <w:p w14:paraId="356825F4">
      <w:pPr>
        <w:pStyle w:val="2"/>
        <w:tabs>
          <w:tab w:val="left" w:pos="5060"/>
          <w:tab w:val="left" w:pos="5720"/>
        </w:tabs>
        <w:spacing w:before="4"/>
        <w:ind w:left="-142" w:right="80"/>
        <w:rPr>
          <w:rFonts w:hint="eastAsia"/>
          <w:color w:val="auto"/>
          <w:spacing w:val="-3"/>
          <w:sz w:val="24"/>
          <w:highlight w:val="none"/>
        </w:rPr>
      </w:pPr>
      <w:r>
        <w:rPr>
          <w:rFonts w:hint="eastAsia"/>
          <w:color w:val="auto"/>
          <w:spacing w:val="-1"/>
          <w:sz w:val="24"/>
          <w:highlight w:val="none"/>
        </w:rPr>
        <w:t>工程规模</w:t>
      </w:r>
      <w:r>
        <w:rPr>
          <w:rFonts w:hint="eastAsia"/>
          <w:color w:val="auto"/>
          <w:spacing w:val="-3"/>
          <w:sz w:val="24"/>
          <w:highlight w:val="none"/>
        </w:rPr>
        <w:t>：</w:t>
      </w:r>
    </w:p>
    <w:p w14:paraId="0EC62360">
      <w:pPr>
        <w:pStyle w:val="2"/>
        <w:tabs>
          <w:tab w:val="left" w:pos="5060"/>
          <w:tab w:val="left" w:pos="5720"/>
        </w:tabs>
        <w:spacing w:before="4"/>
        <w:ind w:left="-142" w:right="80"/>
        <w:rPr>
          <w:rFonts w:hint="eastAsia"/>
          <w:color w:val="auto"/>
          <w:spacing w:val="-3"/>
          <w:sz w:val="24"/>
          <w:highlight w:val="none"/>
          <w:u w:val="single"/>
        </w:rPr>
      </w:pPr>
      <w:r>
        <w:rPr>
          <w:rFonts w:hint="eastAsia"/>
          <w:color w:val="auto"/>
          <w:spacing w:val="-3"/>
          <w:sz w:val="24"/>
          <w:highlight w:val="none"/>
        </w:rPr>
        <w:t>监理单位：</w:t>
      </w:r>
    </w:p>
    <w:p w14:paraId="1FE7E3D2">
      <w:pPr>
        <w:pStyle w:val="2"/>
        <w:tabs>
          <w:tab w:val="left" w:pos="5060"/>
          <w:tab w:val="left" w:pos="5720"/>
        </w:tabs>
        <w:spacing w:before="4"/>
        <w:ind w:left="1182" w:right="80"/>
        <w:jc w:val="center"/>
        <w:rPr>
          <w:rFonts w:hint="eastAsia"/>
          <w:color w:val="auto"/>
          <w:spacing w:val="-3"/>
          <w:sz w:val="36"/>
          <w:szCs w:val="36"/>
          <w:highlight w:val="none"/>
          <w:u w:val="single"/>
        </w:rPr>
      </w:pPr>
      <w:r>
        <w:rPr>
          <w:rFonts w:hint="eastAsia"/>
          <w:b/>
          <w:bCs/>
          <w:color w:val="auto"/>
          <w:spacing w:val="-1"/>
          <w:sz w:val="36"/>
          <w:szCs w:val="36"/>
          <w:highlight w:val="none"/>
        </w:rPr>
        <w:t>项目情况及拟投入项目监理部人员一览表</w:t>
      </w:r>
    </w:p>
    <w:tbl>
      <w:tblPr>
        <w:tblStyle w:val="3"/>
        <w:tblpPr w:leftFromText="180" w:rightFromText="180" w:vertAnchor="text" w:horzAnchor="page" w:tblpX="970" w:tblpY="408"/>
        <w:tblOverlap w:val="never"/>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1594"/>
        <w:gridCol w:w="1594"/>
        <w:gridCol w:w="1594"/>
        <w:gridCol w:w="1954"/>
        <w:gridCol w:w="1577"/>
      </w:tblGrid>
      <w:tr w14:paraId="2AB2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4" w:type="dxa"/>
            <w:noWrap w:val="0"/>
            <w:vAlign w:val="center"/>
          </w:tcPr>
          <w:p w14:paraId="41D71798">
            <w:pPr>
              <w:pStyle w:val="2"/>
              <w:tabs>
                <w:tab w:val="left" w:pos="5060"/>
                <w:tab w:val="left" w:pos="5720"/>
              </w:tabs>
              <w:spacing w:before="4" w:line="360" w:lineRule="auto"/>
              <w:ind w:right="80"/>
              <w:jc w:val="center"/>
              <w:rPr>
                <w:rFonts w:hint="eastAsia"/>
                <w:color w:val="auto"/>
                <w:spacing w:val="-3"/>
                <w:sz w:val="24"/>
                <w:highlight w:val="none"/>
              </w:rPr>
            </w:pPr>
            <w:r>
              <w:rPr>
                <w:rFonts w:hint="eastAsia"/>
                <w:color w:val="auto"/>
                <w:spacing w:val="-3"/>
                <w:sz w:val="24"/>
                <w:highlight w:val="none"/>
              </w:rPr>
              <w:t>姓名</w:t>
            </w:r>
          </w:p>
        </w:tc>
        <w:tc>
          <w:tcPr>
            <w:tcW w:w="1594" w:type="dxa"/>
            <w:noWrap w:val="0"/>
            <w:vAlign w:val="center"/>
          </w:tcPr>
          <w:p w14:paraId="02B430D3">
            <w:pPr>
              <w:pStyle w:val="2"/>
              <w:tabs>
                <w:tab w:val="left" w:pos="5060"/>
                <w:tab w:val="left" w:pos="5720"/>
              </w:tabs>
              <w:spacing w:before="4" w:line="360" w:lineRule="auto"/>
              <w:ind w:right="80"/>
              <w:jc w:val="center"/>
              <w:rPr>
                <w:rFonts w:hint="eastAsia"/>
                <w:color w:val="auto"/>
                <w:spacing w:val="-3"/>
                <w:sz w:val="24"/>
                <w:highlight w:val="none"/>
              </w:rPr>
            </w:pPr>
            <w:r>
              <w:rPr>
                <w:rFonts w:hint="eastAsia"/>
                <w:color w:val="auto"/>
                <w:spacing w:val="-3"/>
                <w:sz w:val="24"/>
                <w:highlight w:val="none"/>
              </w:rPr>
              <w:t>岗位</w:t>
            </w:r>
          </w:p>
        </w:tc>
        <w:tc>
          <w:tcPr>
            <w:tcW w:w="1594" w:type="dxa"/>
            <w:noWrap w:val="0"/>
            <w:vAlign w:val="center"/>
          </w:tcPr>
          <w:p w14:paraId="4C2148C6">
            <w:pPr>
              <w:pStyle w:val="2"/>
              <w:tabs>
                <w:tab w:val="left" w:pos="5060"/>
                <w:tab w:val="left" w:pos="5720"/>
              </w:tabs>
              <w:spacing w:before="4" w:line="360" w:lineRule="auto"/>
              <w:ind w:right="80"/>
              <w:jc w:val="center"/>
              <w:rPr>
                <w:rFonts w:hint="eastAsia"/>
                <w:color w:val="auto"/>
                <w:spacing w:val="-3"/>
                <w:sz w:val="24"/>
                <w:highlight w:val="none"/>
              </w:rPr>
            </w:pPr>
            <w:r>
              <w:rPr>
                <w:rFonts w:hint="eastAsia"/>
                <w:color w:val="auto"/>
                <w:spacing w:val="-3"/>
                <w:sz w:val="24"/>
                <w:highlight w:val="none"/>
              </w:rPr>
              <w:t>职称</w:t>
            </w:r>
          </w:p>
        </w:tc>
        <w:tc>
          <w:tcPr>
            <w:tcW w:w="1594" w:type="dxa"/>
            <w:noWrap w:val="0"/>
            <w:vAlign w:val="center"/>
          </w:tcPr>
          <w:p w14:paraId="69C07D03">
            <w:pPr>
              <w:pStyle w:val="2"/>
              <w:tabs>
                <w:tab w:val="left" w:pos="5060"/>
                <w:tab w:val="left" w:pos="5720"/>
              </w:tabs>
              <w:spacing w:before="4" w:line="360" w:lineRule="auto"/>
              <w:ind w:right="80"/>
              <w:jc w:val="center"/>
              <w:rPr>
                <w:rFonts w:hint="eastAsia"/>
                <w:color w:val="auto"/>
                <w:spacing w:val="-3"/>
                <w:sz w:val="24"/>
                <w:highlight w:val="none"/>
              </w:rPr>
            </w:pPr>
            <w:r>
              <w:rPr>
                <w:rFonts w:hint="eastAsia"/>
                <w:color w:val="auto"/>
                <w:spacing w:val="-3"/>
                <w:sz w:val="24"/>
                <w:highlight w:val="none"/>
              </w:rPr>
              <w:t>监理专业</w:t>
            </w:r>
          </w:p>
        </w:tc>
        <w:tc>
          <w:tcPr>
            <w:tcW w:w="1954" w:type="dxa"/>
            <w:noWrap w:val="0"/>
            <w:vAlign w:val="center"/>
          </w:tcPr>
          <w:p w14:paraId="3CD60312">
            <w:pPr>
              <w:pStyle w:val="2"/>
              <w:tabs>
                <w:tab w:val="left" w:pos="5060"/>
                <w:tab w:val="left" w:pos="5720"/>
              </w:tabs>
              <w:spacing w:before="4" w:line="360" w:lineRule="auto"/>
              <w:ind w:right="80"/>
              <w:jc w:val="center"/>
              <w:rPr>
                <w:rFonts w:hint="eastAsia"/>
                <w:color w:val="auto"/>
                <w:spacing w:val="-3"/>
                <w:sz w:val="24"/>
                <w:highlight w:val="none"/>
              </w:rPr>
            </w:pPr>
            <w:r>
              <w:rPr>
                <w:rFonts w:hint="eastAsia"/>
                <w:color w:val="auto"/>
                <w:spacing w:val="-3"/>
                <w:sz w:val="24"/>
                <w:highlight w:val="none"/>
              </w:rPr>
              <w:t>执业资格证号</w:t>
            </w:r>
          </w:p>
        </w:tc>
        <w:tc>
          <w:tcPr>
            <w:tcW w:w="1572" w:type="dxa"/>
            <w:noWrap w:val="0"/>
            <w:vAlign w:val="center"/>
          </w:tcPr>
          <w:p w14:paraId="786F4818">
            <w:pPr>
              <w:pStyle w:val="2"/>
              <w:tabs>
                <w:tab w:val="left" w:pos="5060"/>
                <w:tab w:val="left" w:pos="5720"/>
              </w:tabs>
              <w:spacing w:before="4" w:line="360" w:lineRule="auto"/>
              <w:ind w:right="80"/>
              <w:jc w:val="center"/>
              <w:rPr>
                <w:rFonts w:hint="eastAsia"/>
                <w:color w:val="auto"/>
                <w:spacing w:val="-3"/>
                <w:sz w:val="24"/>
                <w:highlight w:val="none"/>
              </w:rPr>
            </w:pPr>
            <w:r>
              <w:rPr>
                <w:rFonts w:hint="eastAsia"/>
                <w:color w:val="auto"/>
                <w:spacing w:val="-3"/>
                <w:sz w:val="24"/>
                <w:highlight w:val="none"/>
              </w:rPr>
              <w:t>在监工程数</w:t>
            </w:r>
          </w:p>
        </w:tc>
      </w:tr>
      <w:tr w14:paraId="6A90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4" w:type="dxa"/>
            <w:noWrap w:val="0"/>
            <w:vAlign w:val="center"/>
          </w:tcPr>
          <w:p w14:paraId="7EAE05E6">
            <w:pPr>
              <w:pStyle w:val="2"/>
              <w:tabs>
                <w:tab w:val="left" w:pos="5060"/>
                <w:tab w:val="left" w:pos="5720"/>
              </w:tabs>
              <w:spacing w:before="4" w:line="360" w:lineRule="auto"/>
              <w:ind w:right="80"/>
              <w:jc w:val="center"/>
              <w:rPr>
                <w:rFonts w:hint="eastAsia"/>
                <w:color w:val="auto"/>
                <w:spacing w:val="-3"/>
                <w:sz w:val="24"/>
                <w:highlight w:val="none"/>
              </w:rPr>
            </w:pPr>
          </w:p>
        </w:tc>
        <w:tc>
          <w:tcPr>
            <w:tcW w:w="1594" w:type="dxa"/>
            <w:noWrap w:val="0"/>
            <w:vAlign w:val="center"/>
          </w:tcPr>
          <w:p w14:paraId="610E3B7D">
            <w:pPr>
              <w:pStyle w:val="2"/>
              <w:tabs>
                <w:tab w:val="left" w:pos="5060"/>
                <w:tab w:val="left" w:pos="5720"/>
              </w:tabs>
              <w:spacing w:before="4" w:line="360" w:lineRule="auto"/>
              <w:ind w:right="80"/>
              <w:jc w:val="center"/>
              <w:rPr>
                <w:rFonts w:hint="eastAsia"/>
                <w:color w:val="auto"/>
                <w:spacing w:val="-3"/>
                <w:sz w:val="24"/>
                <w:highlight w:val="none"/>
              </w:rPr>
            </w:pPr>
          </w:p>
        </w:tc>
        <w:tc>
          <w:tcPr>
            <w:tcW w:w="1594" w:type="dxa"/>
            <w:noWrap w:val="0"/>
            <w:vAlign w:val="center"/>
          </w:tcPr>
          <w:p w14:paraId="153430A6">
            <w:pPr>
              <w:pStyle w:val="2"/>
              <w:tabs>
                <w:tab w:val="left" w:pos="5060"/>
                <w:tab w:val="left" w:pos="5720"/>
              </w:tabs>
              <w:spacing w:before="4" w:line="360" w:lineRule="auto"/>
              <w:ind w:right="80"/>
              <w:jc w:val="center"/>
              <w:rPr>
                <w:rFonts w:hint="eastAsia"/>
                <w:color w:val="auto"/>
                <w:spacing w:val="-3"/>
                <w:sz w:val="24"/>
                <w:highlight w:val="none"/>
              </w:rPr>
            </w:pPr>
          </w:p>
        </w:tc>
        <w:tc>
          <w:tcPr>
            <w:tcW w:w="1594" w:type="dxa"/>
            <w:noWrap w:val="0"/>
            <w:vAlign w:val="center"/>
          </w:tcPr>
          <w:p w14:paraId="17836123">
            <w:pPr>
              <w:pStyle w:val="2"/>
              <w:tabs>
                <w:tab w:val="left" w:pos="5060"/>
                <w:tab w:val="left" w:pos="5720"/>
              </w:tabs>
              <w:spacing w:before="4" w:line="360" w:lineRule="auto"/>
              <w:ind w:right="80"/>
              <w:jc w:val="center"/>
              <w:rPr>
                <w:rFonts w:hint="eastAsia"/>
                <w:color w:val="auto"/>
                <w:spacing w:val="-3"/>
                <w:sz w:val="24"/>
                <w:highlight w:val="none"/>
              </w:rPr>
            </w:pPr>
          </w:p>
        </w:tc>
        <w:tc>
          <w:tcPr>
            <w:tcW w:w="1954" w:type="dxa"/>
            <w:noWrap w:val="0"/>
            <w:vAlign w:val="center"/>
          </w:tcPr>
          <w:p w14:paraId="63F066D8">
            <w:pPr>
              <w:pStyle w:val="2"/>
              <w:tabs>
                <w:tab w:val="left" w:pos="5060"/>
                <w:tab w:val="left" w:pos="5720"/>
              </w:tabs>
              <w:spacing w:before="4" w:line="360" w:lineRule="auto"/>
              <w:ind w:right="80"/>
              <w:jc w:val="center"/>
              <w:rPr>
                <w:rFonts w:hint="eastAsia"/>
                <w:color w:val="auto"/>
                <w:spacing w:val="-3"/>
                <w:sz w:val="24"/>
                <w:highlight w:val="none"/>
              </w:rPr>
            </w:pPr>
          </w:p>
        </w:tc>
        <w:tc>
          <w:tcPr>
            <w:tcW w:w="1572" w:type="dxa"/>
            <w:noWrap w:val="0"/>
            <w:vAlign w:val="center"/>
          </w:tcPr>
          <w:p w14:paraId="33D0BC0D">
            <w:pPr>
              <w:pStyle w:val="2"/>
              <w:tabs>
                <w:tab w:val="left" w:pos="5060"/>
                <w:tab w:val="left" w:pos="5720"/>
              </w:tabs>
              <w:spacing w:before="4" w:line="360" w:lineRule="auto"/>
              <w:ind w:right="80"/>
              <w:jc w:val="center"/>
              <w:rPr>
                <w:rFonts w:hint="eastAsia"/>
                <w:color w:val="auto"/>
                <w:spacing w:val="-3"/>
                <w:sz w:val="24"/>
                <w:highlight w:val="none"/>
              </w:rPr>
            </w:pPr>
          </w:p>
        </w:tc>
      </w:tr>
      <w:tr w14:paraId="49249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4" w:type="dxa"/>
            <w:noWrap w:val="0"/>
            <w:vAlign w:val="center"/>
          </w:tcPr>
          <w:p w14:paraId="54452575">
            <w:pPr>
              <w:pStyle w:val="2"/>
              <w:tabs>
                <w:tab w:val="left" w:pos="5060"/>
                <w:tab w:val="left" w:pos="5720"/>
              </w:tabs>
              <w:spacing w:before="4" w:line="360" w:lineRule="auto"/>
              <w:ind w:right="80"/>
              <w:jc w:val="center"/>
              <w:rPr>
                <w:rFonts w:hint="eastAsia"/>
                <w:color w:val="auto"/>
                <w:spacing w:val="-3"/>
                <w:sz w:val="24"/>
                <w:highlight w:val="none"/>
              </w:rPr>
            </w:pPr>
          </w:p>
        </w:tc>
        <w:tc>
          <w:tcPr>
            <w:tcW w:w="1594" w:type="dxa"/>
            <w:noWrap w:val="0"/>
            <w:vAlign w:val="center"/>
          </w:tcPr>
          <w:p w14:paraId="555DCE70">
            <w:pPr>
              <w:pStyle w:val="2"/>
              <w:tabs>
                <w:tab w:val="left" w:pos="5060"/>
                <w:tab w:val="left" w:pos="5720"/>
              </w:tabs>
              <w:spacing w:before="4" w:line="360" w:lineRule="auto"/>
              <w:ind w:right="80"/>
              <w:jc w:val="center"/>
              <w:rPr>
                <w:rFonts w:hint="eastAsia"/>
                <w:color w:val="auto"/>
                <w:spacing w:val="-3"/>
                <w:sz w:val="24"/>
                <w:highlight w:val="none"/>
              </w:rPr>
            </w:pPr>
          </w:p>
        </w:tc>
        <w:tc>
          <w:tcPr>
            <w:tcW w:w="1594" w:type="dxa"/>
            <w:noWrap w:val="0"/>
            <w:vAlign w:val="center"/>
          </w:tcPr>
          <w:p w14:paraId="1BC7CB0B">
            <w:pPr>
              <w:pStyle w:val="2"/>
              <w:tabs>
                <w:tab w:val="left" w:pos="5060"/>
                <w:tab w:val="left" w:pos="5720"/>
              </w:tabs>
              <w:spacing w:before="4" w:line="360" w:lineRule="auto"/>
              <w:ind w:right="80"/>
              <w:jc w:val="center"/>
              <w:rPr>
                <w:rFonts w:hint="eastAsia"/>
                <w:color w:val="auto"/>
                <w:spacing w:val="-3"/>
                <w:sz w:val="24"/>
                <w:highlight w:val="none"/>
              </w:rPr>
            </w:pPr>
          </w:p>
        </w:tc>
        <w:tc>
          <w:tcPr>
            <w:tcW w:w="1594" w:type="dxa"/>
            <w:noWrap w:val="0"/>
            <w:vAlign w:val="center"/>
          </w:tcPr>
          <w:p w14:paraId="27F193D8">
            <w:pPr>
              <w:pStyle w:val="2"/>
              <w:tabs>
                <w:tab w:val="left" w:pos="5060"/>
                <w:tab w:val="left" w:pos="5720"/>
              </w:tabs>
              <w:spacing w:before="4" w:line="360" w:lineRule="auto"/>
              <w:ind w:right="80"/>
              <w:jc w:val="center"/>
              <w:rPr>
                <w:rFonts w:hint="eastAsia"/>
                <w:color w:val="auto"/>
                <w:spacing w:val="-3"/>
                <w:sz w:val="24"/>
                <w:highlight w:val="none"/>
              </w:rPr>
            </w:pPr>
          </w:p>
        </w:tc>
        <w:tc>
          <w:tcPr>
            <w:tcW w:w="1954" w:type="dxa"/>
            <w:noWrap w:val="0"/>
            <w:vAlign w:val="center"/>
          </w:tcPr>
          <w:p w14:paraId="452C8EE0">
            <w:pPr>
              <w:pStyle w:val="2"/>
              <w:tabs>
                <w:tab w:val="left" w:pos="5060"/>
                <w:tab w:val="left" w:pos="5720"/>
              </w:tabs>
              <w:spacing w:before="4" w:line="360" w:lineRule="auto"/>
              <w:ind w:right="80"/>
              <w:jc w:val="center"/>
              <w:rPr>
                <w:rFonts w:hint="eastAsia"/>
                <w:color w:val="auto"/>
                <w:spacing w:val="-3"/>
                <w:sz w:val="24"/>
                <w:highlight w:val="none"/>
              </w:rPr>
            </w:pPr>
          </w:p>
        </w:tc>
        <w:tc>
          <w:tcPr>
            <w:tcW w:w="1572" w:type="dxa"/>
            <w:noWrap w:val="0"/>
            <w:vAlign w:val="center"/>
          </w:tcPr>
          <w:p w14:paraId="57C7851A">
            <w:pPr>
              <w:pStyle w:val="2"/>
              <w:tabs>
                <w:tab w:val="left" w:pos="5060"/>
                <w:tab w:val="left" w:pos="5720"/>
              </w:tabs>
              <w:spacing w:before="4" w:line="360" w:lineRule="auto"/>
              <w:ind w:right="80"/>
              <w:jc w:val="center"/>
              <w:rPr>
                <w:rFonts w:hint="eastAsia"/>
                <w:color w:val="auto"/>
                <w:spacing w:val="-3"/>
                <w:sz w:val="24"/>
                <w:highlight w:val="none"/>
              </w:rPr>
            </w:pPr>
          </w:p>
        </w:tc>
      </w:tr>
      <w:tr w14:paraId="7D44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4" w:type="dxa"/>
            <w:noWrap w:val="0"/>
            <w:vAlign w:val="center"/>
          </w:tcPr>
          <w:p w14:paraId="57C0BD6D">
            <w:pPr>
              <w:pStyle w:val="2"/>
              <w:tabs>
                <w:tab w:val="left" w:pos="5060"/>
                <w:tab w:val="left" w:pos="5720"/>
              </w:tabs>
              <w:spacing w:before="4" w:line="360" w:lineRule="auto"/>
              <w:ind w:right="80"/>
              <w:jc w:val="center"/>
              <w:rPr>
                <w:rFonts w:hint="eastAsia"/>
                <w:color w:val="auto"/>
                <w:spacing w:val="-3"/>
                <w:sz w:val="24"/>
                <w:highlight w:val="none"/>
              </w:rPr>
            </w:pPr>
          </w:p>
        </w:tc>
        <w:tc>
          <w:tcPr>
            <w:tcW w:w="1594" w:type="dxa"/>
            <w:noWrap w:val="0"/>
            <w:vAlign w:val="center"/>
          </w:tcPr>
          <w:p w14:paraId="6A8FD64B">
            <w:pPr>
              <w:pStyle w:val="2"/>
              <w:tabs>
                <w:tab w:val="left" w:pos="5060"/>
                <w:tab w:val="left" w:pos="5720"/>
              </w:tabs>
              <w:spacing w:before="4" w:line="360" w:lineRule="auto"/>
              <w:ind w:right="80"/>
              <w:jc w:val="center"/>
              <w:rPr>
                <w:rFonts w:hint="eastAsia"/>
                <w:color w:val="auto"/>
                <w:spacing w:val="-3"/>
                <w:sz w:val="24"/>
                <w:highlight w:val="none"/>
              </w:rPr>
            </w:pPr>
          </w:p>
        </w:tc>
        <w:tc>
          <w:tcPr>
            <w:tcW w:w="1594" w:type="dxa"/>
            <w:noWrap w:val="0"/>
            <w:vAlign w:val="center"/>
          </w:tcPr>
          <w:p w14:paraId="68D0EA4D">
            <w:pPr>
              <w:pStyle w:val="2"/>
              <w:tabs>
                <w:tab w:val="left" w:pos="5060"/>
                <w:tab w:val="left" w:pos="5720"/>
              </w:tabs>
              <w:spacing w:before="4" w:line="360" w:lineRule="auto"/>
              <w:ind w:right="80"/>
              <w:jc w:val="center"/>
              <w:rPr>
                <w:rFonts w:hint="eastAsia"/>
                <w:color w:val="auto"/>
                <w:spacing w:val="-3"/>
                <w:sz w:val="24"/>
                <w:highlight w:val="none"/>
              </w:rPr>
            </w:pPr>
          </w:p>
        </w:tc>
        <w:tc>
          <w:tcPr>
            <w:tcW w:w="1594" w:type="dxa"/>
            <w:noWrap w:val="0"/>
            <w:vAlign w:val="center"/>
          </w:tcPr>
          <w:p w14:paraId="79056648">
            <w:pPr>
              <w:pStyle w:val="2"/>
              <w:tabs>
                <w:tab w:val="left" w:pos="5060"/>
                <w:tab w:val="left" w:pos="5720"/>
              </w:tabs>
              <w:spacing w:before="4" w:line="360" w:lineRule="auto"/>
              <w:ind w:right="80"/>
              <w:jc w:val="center"/>
              <w:rPr>
                <w:rFonts w:hint="eastAsia"/>
                <w:color w:val="auto"/>
                <w:spacing w:val="-3"/>
                <w:sz w:val="24"/>
                <w:highlight w:val="none"/>
              </w:rPr>
            </w:pPr>
          </w:p>
        </w:tc>
        <w:tc>
          <w:tcPr>
            <w:tcW w:w="1954" w:type="dxa"/>
            <w:noWrap w:val="0"/>
            <w:vAlign w:val="center"/>
          </w:tcPr>
          <w:p w14:paraId="46A23E0F">
            <w:pPr>
              <w:pStyle w:val="2"/>
              <w:tabs>
                <w:tab w:val="left" w:pos="5060"/>
                <w:tab w:val="left" w:pos="5720"/>
              </w:tabs>
              <w:spacing w:before="4" w:line="360" w:lineRule="auto"/>
              <w:ind w:right="80"/>
              <w:jc w:val="center"/>
              <w:rPr>
                <w:rFonts w:hint="eastAsia"/>
                <w:color w:val="auto"/>
                <w:spacing w:val="-3"/>
                <w:sz w:val="24"/>
                <w:highlight w:val="none"/>
              </w:rPr>
            </w:pPr>
          </w:p>
        </w:tc>
        <w:tc>
          <w:tcPr>
            <w:tcW w:w="1572" w:type="dxa"/>
            <w:noWrap w:val="0"/>
            <w:vAlign w:val="center"/>
          </w:tcPr>
          <w:p w14:paraId="22A46F22">
            <w:pPr>
              <w:pStyle w:val="2"/>
              <w:tabs>
                <w:tab w:val="left" w:pos="5060"/>
                <w:tab w:val="left" w:pos="5720"/>
              </w:tabs>
              <w:spacing w:before="4" w:line="360" w:lineRule="auto"/>
              <w:ind w:right="80"/>
              <w:jc w:val="center"/>
              <w:rPr>
                <w:rFonts w:hint="eastAsia"/>
                <w:color w:val="auto"/>
                <w:spacing w:val="-3"/>
                <w:sz w:val="24"/>
                <w:highlight w:val="none"/>
              </w:rPr>
            </w:pPr>
          </w:p>
        </w:tc>
      </w:tr>
      <w:tr w14:paraId="0A86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94" w:type="dxa"/>
            <w:noWrap w:val="0"/>
            <w:vAlign w:val="center"/>
          </w:tcPr>
          <w:p w14:paraId="36387DFD">
            <w:pPr>
              <w:pStyle w:val="2"/>
              <w:tabs>
                <w:tab w:val="left" w:pos="5060"/>
                <w:tab w:val="left" w:pos="5720"/>
              </w:tabs>
              <w:spacing w:before="4" w:line="360" w:lineRule="auto"/>
              <w:ind w:right="80"/>
              <w:jc w:val="center"/>
              <w:rPr>
                <w:rFonts w:hint="eastAsia"/>
                <w:color w:val="auto"/>
                <w:spacing w:val="-3"/>
                <w:sz w:val="24"/>
                <w:highlight w:val="none"/>
              </w:rPr>
            </w:pPr>
          </w:p>
        </w:tc>
        <w:tc>
          <w:tcPr>
            <w:tcW w:w="1594" w:type="dxa"/>
            <w:noWrap w:val="0"/>
            <w:vAlign w:val="center"/>
          </w:tcPr>
          <w:p w14:paraId="7597CD3B">
            <w:pPr>
              <w:pStyle w:val="2"/>
              <w:tabs>
                <w:tab w:val="left" w:pos="5060"/>
                <w:tab w:val="left" w:pos="5720"/>
              </w:tabs>
              <w:spacing w:before="4" w:line="360" w:lineRule="auto"/>
              <w:ind w:right="80"/>
              <w:jc w:val="center"/>
              <w:rPr>
                <w:rFonts w:hint="eastAsia"/>
                <w:color w:val="auto"/>
                <w:spacing w:val="-3"/>
                <w:sz w:val="24"/>
                <w:highlight w:val="none"/>
              </w:rPr>
            </w:pPr>
          </w:p>
        </w:tc>
        <w:tc>
          <w:tcPr>
            <w:tcW w:w="1594" w:type="dxa"/>
            <w:noWrap w:val="0"/>
            <w:vAlign w:val="center"/>
          </w:tcPr>
          <w:p w14:paraId="0F1B51C8">
            <w:pPr>
              <w:pStyle w:val="2"/>
              <w:tabs>
                <w:tab w:val="left" w:pos="5060"/>
                <w:tab w:val="left" w:pos="5720"/>
              </w:tabs>
              <w:spacing w:before="4" w:line="360" w:lineRule="auto"/>
              <w:ind w:right="80"/>
              <w:jc w:val="distribute"/>
              <w:rPr>
                <w:rFonts w:hint="eastAsia"/>
                <w:color w:val="auto"/>
                <w:spacing w:val="-3"/>
                <w:sz w:val="24"/>
                <w:highlight w:val="none"/>
              </w:rPr>
            </w:pPr>
          </w:p>
        </w:tc>
        <w:tc>
          <w:tcPr>
            <w:tcW w:w="1594" w:type="dxa"/>
            <w:noWrap w:val="0"/>
            <w:vAlign w:val="center"/>
          </w:tcPr>
          <w:p w14:paraId="4293292E">
            <w:pPr>
              <w:pStyle w:val="2"/>
              <w:tabs>
                <w:tab w:val="left" w:pos="5060"/>
                <w:tab w:val="left" w:pos="5720"/>
              </w:tabs>
              <w:spacing w:before="4" w:line="360" w:lineRule="auto"/>
              <w:ind w:right="80"/>
              <w:jc w:val="center"/>
              <w:rPr>
                <w:rFonts w:hint="eastAsia"/>
                <w:color w:val="auto"/>
                <w:spacing w:val="-3"/>
                <w:sz w:val="24"/>
                <w:highlight w:val="none"/>
              </w:rPr>
            </w:pPr>
          </w:p>
        </w:tc>
        <w:tc>
          <w:tcPr>
            <w:tcW w:w="1954" w:type="dxa"/>
            <w:noWrap w:val="0"/>
            <w:vAlign w:val="center"/>
          </w:tcPr>
          <w:p w14:paraId="4FDAE73E">
            <w:pPr>
              <w:pStyle w:val="2"/>
              <w:tabs>
                <w:tab w:val="left" w:pos="5060"/>
                <w:tab w:val="left" w:pos="5720"/>
              </w:tabs>
              <w:spacing w:before="4" w:line="360" w:lineRule="auto"/>
              <w:ind w:right="80"/>
              <w:jc w:val="center"/>
              <w:rPr>
                <w:rFonts w:hint="eastAsia"/>
                <w:color w:val="auto"/>
                <w:spacing w:val="-3"/>
                <w:sz w:val="24"/>
                <w:highlight w:val="none"/>
              </w:rPr>
            </w:pPr>
          </w:p>
        </w:tc>
        <w:tc>
          <w:tcPr>
            <w:tcW w:w="1572" w:type="dxa"/>
            <w:noWrap w:val="0"/>
            <w:vAlign w:val="center"/>
          </w:tcPr>
          <w:p w14:paraId="30E6980C">
            <w:pPr>
              <w:pStyle w:val="2"/>
              <w:tabs>
                <w:tab w:val="left" w:pos="5060"/>
                <w:tab w:val="left" w:pos="5720"/>
              </w:tabs>
              <w:spacing w:before="4" w:line="360" w:lineRule="auto"/>
              <w:ind w:right="80"/>
              <w:jc w:val="center"/>
              <w:rPr>
                <w:rFonts w:hint="eastAsia"/>
                <w:color w:val="auto"/>
                <w:spacing w:val="-3"/>
                <w:sz w:val="24"/>
                <w:highlight w:val="none"/>
              </w:rPr>
            </w:pPr>
          </w:p>
        </w:tc>
      </w:tr>
      <w:tr w14:paraId="50D3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594" w:type="dxa"/>
            <w:noWrap w:val="0"/>
            <w:vAlign w:val="center"/>
          </w:tcPr>
          <w:p w14:paraId="396846EF">
            <w:pPr>
              <w:pStyle w:val="2"/>
              <w:tabs>
                <w:tab w:val="left" w:pos="5060"/>
                <w:tab w:val="left" w:pos="5720"/>
              </w:tabs>
              <w:spacing w:before="4" w:line="360" w:lineRule="auto"/>
              <w:ind w:right="80"/>
              <w:jc w:val="center"/>
              <w:rPr>
                <w:rFonts w:hint="eastAsia"/>
                <w:color w:val="auto"/>
                <w:spacing w:val="-3"/>
                <w:sz w:val="24"/>
                <w:highlight w:val="none"/>
              </w:rPr>
            </w:pPr>
            <w:r>
              <w:rPr>
                <w:rFonts w:hint="eastAsia"/>
                <w:color w:val="auto"/>
                <w:spacing w:val="-3"/>
                <w:sz w:val="24"/>
                <w:highlight w:val="none"/>
              </w:rPr>
              <w:t>企业信用承</w:t>
            </w:r>
          </w:p>
          <w:p w14:paraId="503EA75E">
            <w:pPr>
              <w:pStyle w:val="2"/>
              <w:tabs>
                <w:tab w:val="left" w:pos="5060"/>
                <w:tab w:val="left" w:pos="5720"/>
              </w:tabs>
              <w:spacing w:before="4" w:line="360" w:lineRule="auto"/>
              <w:ind w:right="80"/>
              <w:jc w:val="center"/>
              <w:rPr>
                <w:rFonts w:hint="eastAsia"/>
                <w:color w:val="auto"/>
                <w:spacing w:val="-3"/>
                <w:sz w:val="24"/>
                <w:highlight w:val="none"/>
              </w:rPr>
            </w:pPr>
            <w:r>
              <w:rPr>
                <w:rFonts w:hint="eastAsia"/>
                <w:color w:val="auto"/>
                <w:spacing w:val="-3"/>
                <w:sz w:val="24"/>
                <w:highlight w:val="none"/>
              </w:rPr>
              <w:t>诺</w:t>
            </w:r>
          </w:p>
        </w:tc>
        <w:tc>
          <w:tcPr>
            <w:tcW w:w="8313" w:type="dxa"/>
            <w:gridSpan w:val="5"/>
            <w:noWrap w:val="0"/>
            <w:vAlign w:val="center"/>
          </w:tcPr>
          <w:p w14:paraId="32E59A80">
            <w:pPr>
              <w:pStyle w:val="2"/>
              <w:tabs>
                <w:tab w:val="left" w:pos="5060"/>
                <w:tab w:val="left" w:pos="5720"/>
              </w:tabs>
              <w:spacing w:before="4" w:line="360" w:lineRule="auto"/>
              <w:ind w:right="80"/>
              <w:jc w:val="left"/>
              <w:rPr>
                <w:rFonts w:hint="eastAsia"/>
                <w:color w:val="auto"/>
                <w:spacing w:val="-3"/>
                <w:sz w:val="24"/>
                <w:highlight w:val="none"/>
              </w:rPr>
            </w:pPr>
            <w:r>
              <w:rPr>
                <w:rFonts w:hint="eastAsia"/>
                <w:color w:val="auto"/>
                <w:spacing w:val="-3"/>
                <w:sz w:val="24"/>
                <w:highlight w:val="none"/>
              </w:rPr>
              <w:t>上述填写内容完全真实有效，并完全符合本次招标公告、招标文件要求及工程承接的其他相关法律法规规定，若有瞒报或弄虚作假行为，企业自行承担由此所导致的一切不良后果。</w:t>
            </w:r>
          </w:p>
          <w:p w14:paraId="74F517FA">
            <w:pPr>
              <w:pStyle w:val="2"/>
              <w:tabs>
                <w:tab w:val="left" w:pos="5060"/>
                <w:tab w:val="left" w:pos="5720"/>
              </w:tabs>
              <w:spacing w:before="4" w:line="360" w:lineRule="auto"/>
              <w:ind w:right="80"/>
              <w:jc w:val="center"/>
              <w:rPr>
                <w:rFonts w:hint="eastAsia"/>
                <w:color w:val="auto"/>
                <w:spacing w:val="-3"/>
                <w:sz w:val="24"/>
                <w:highlight w:val="none"/>
              </w:rPr>
            </w:pPr>
          </w:p>
          <w:p w14:paraId="6B1D8C30">
            <w:pPr>
              <w:pStyle w:val="2"/>
              <w:tabs>
                <w:tab w:val="left" w:pos="5060"/>
                <w:tab w:val="left" w:pos="5720"/>
              </w:tabs>
              <w:spacing w:before="4" w:line="360" w:lineRule="auto"/>
              <w:ind w:right="80"/>
              <w:jc w:val="left"/>
              <w:rPr>
                <w:rFonts w:hint="eastAsia"/>
                <w:color w:val="auto"/>
                <w:spacing w:val="-3"/>
                <w:sz w:val="24"/>
                <w:highlight w:val="none"/>
              </w:rPr>
            </w:pPr>
            <w:r>
              <w:rPr>
                <w:rFonts w:hint="eastAsia"/>
                <w:color w:val="auto"/>
                <w:spacing w:val="-3"/>
                <w:sz w:val="24"/>
                <w:highlight w:val="none"/>
              </w:rPr>
              <w:t>企业盖章：</w:t>
            </w:r>
          </w:p>
          <w:p w14:paraId="7CA78F28">
            <w:pPr>
              <w:pStyle w:val="2"/>
              <w:tabs>
                <w:tab w:val="left" w:pos="5060"/>
                <w:tab w:val="left" w:pos="5720"/>
              </w:tabs>
              <w:spacing w:before="4" w:line="360" w:lineRule="auto"/>
              <w:ind w:right="80"/>
              <w:jc w:val="left"/>
              <w:rPr>
                <w:rFonts w:hint="eastAsia"/>
                <w:color w:val="auto"/>
                <w:spacing w:val="-3"/>
                <w:sz w:val="24"/>
                <w:highlight w:val="none"/>
              </w:rPr>
            </w:pPr>
            <w:r>
              <w:rPr>
                <w:rFonts w:hint="eastAsia"/>
                <w:color w:val="auto"/>
                <w:spacing w:val="-3"/>
                <w:sz w:val="24"/>
                <w:highlight w:val="none"/>
              </w:rPr>
              <w:t>企业法定代表人签字：                       项目总监签字：</w:t>
            </w:r>
          </w:p>
        </w:tc>
      </w:tr>
    </w:tbl>
    <w:p w14:paraId="32063F3A">
      <w:pPr>
        <w:pStyle w:val="2"/>
        <w:jc w:val="right"/>
        <w:rPr>
          <w:rFonts w:hint="eastAsia"/>
          <w:color w:val="auto"/>
          <w:highlight w:val="none"/>
        </w:rPr>
      </w:pPr>
      <w:r>
        <w:rPr>
          <w:rFonts w:hint="eastAsia"/>
          <w:color w:val="auto"/>
          <w:sz w:val="24"/>
          <w:highlight w:val="none"/>
        </w:rPr>
        <w:t>日期：   年   月   日</w:t>
      </w:r>
    </w:p>
    <w:p w14:paraId="7136FC6B">
      <w:pPr>
        <w:pStyle w:val="10"/>
        <w:spacing w:before="70" w:line="344" w:lineRule="auto"/>
        <w:rPr>
          <w:rFonts w:hint="eastAsia"/>
          <w:b/>
          <w:bCs/>
          <w:color w:val="auto"/>
          <w:highlight w:val="none"/>
          <w:lang w:val="en-US"/>
        </w:rPr>
      </w:pPr>
      <w:r>
        <w:rPr>
          <w:b/>
          <w:bCs/>
          <w:color w:val="auto"/>
          <w:highlight w:val="none"/>
          <w:lang w:val="en-US"/>
        </w:rPr>
        <w:br w:type="page"/>
      </w:r>
      <w:r>
        <w:rPr>
          <w:rFonts w:hint="eastAsia"/>
          <w:b/>
          <w:bCs/>
          <w:color w:val="auto"/>
          <w:highlight w:val="none"/>
        </w:rPr>
        <w:t>附件四</w:t>
      </w:r>
      <w:r>
        <w:rPr>
          <w:rFonts w:hint="eastAsia"/>
          <w:b/>
          <w:bCs/>
          <w:color w:val="auto"/>
          <w:highlight w:val="none"/>
          <w:lang w:val="en-US"/>
        </w:rPr>
        <w:t>：</w:t>
      </w:r>
    </w:p>
    <w:p w14:paraId="7B2AE7AB">
      <w:pPr>
        <w:pStyle w:val="10"/>
        <w:spacing w:before="70" w:line="344" w:lineRule="auto"/>
        <w:ind w:left="536"/>
        <w:jc w:val="center"/>
        <w:rPr>
          <w:b/>
          <w:bCs/>
          <w:color w:val="auto"/>
          <w:sz w:val="30"/>
          <w:szCs w:val="30"/>
          <w:highlight w:val="none"/>
          <w:lang w:val="en-US"/>
        </w:rPr>
      </w:pPr>
      <w:r>
        <w:rPr>
          <w:rFonts w:hint="eastAsia"/>
          <w:b/>
          <w:bCs/>
          <w:color w:val="auto"/>
          <w:sz w:val="30"/>
          <w:szCs w:val="30"/>
          <w:highlight w:val="none"/>
          <w:lang w:val="en-US"/>
        </w:rPr>
        <w:t>建设单位证明材料</w:t>
      </w:r>
    </w:p>
    <w:p w14:paraId="30ABD550">
      <w:pPr>
        <w:rPr>
          <w:rFonts w:ascii="宋体" w:hAnsi="宋体"/>
          <w:color w:val="auto"/>
          <w:sz w:val="28"/>
          <w:szCs w:val="28"/>
          <w:highlight w:val="none"/>
        </w:rPr>
      </w:pPr>
      <w:r>
        <w:rPr>
          <w:rFonts w:hint="eastAsia" w:ascii="宋体" w:hAnsi="宋体"/>
          <w:color w:val="auto"/>
          <w:sz w:val="28"/>
          <w:szCs w:val="28"/>
          <w:highlight w:val="none"/>
          <w:u w:val="single"/>
        </w:rPr>
        <w:t xml:space="preserve">（招标人）          </w:t>
      </w:r>
      <w:r>
        <w:rPr>
          <w:rFonts w:hint="eastAsia" w:ascii="宋体" w:hAnsi="宋体"/>
          <w:color w:val="auto"/>
          <w:sz w:val="28"/>
          <w:szCs w:val="28"/>
          <w:highlight w:val="none"/>
        </w:rPr>
        <w:t>：</w:t>
      </w:r>
    </w:p>
    <w:p w14:paraId="150692BA">
      <w:pPr>
        <w:pStyle w:val="2"/>
        <w:ind w:firstLine="560" w:firstLineChars="200"/>
        <w:rPr>
          <w:color w:val="auto"/>
          <w:sz w:val="28"/>
          <w:szCs w:val="28"/>
          <w:highlight w:val="none"/>
        </w:rPr>
      </w:pPr>
      <w:r>
        <w:rPr>
          <w:rFonts w:hint="eastAsia"/>
          <w:color w:val="auto"/>
          <w:sz w:val="28"/>
          <w:szCs w:val="28"/>
          <w:highlight w:val="none"/>
          <w:u w:val="single"/>
        </w:rPr>
        <w:t xml:space="preserve">（单位名称）    </w:t>
      </w:r>
      <w:r>
        <w:rPr>
          <w:rFonts w:hint="eastAsia"/>
          <w:color w:val="auto"/>
          <w:sz w:val="28"/>
          <w:szCs w:val="28"/>
          <w:highlight w:val="none"/>
        </w:rPr>
        <w:t>于</w:t>
      </w:r>
      <w:r>
        <w:rPr>
          <w:rFonts w:hint="eastAsia"/>
          <w:color w:val="auto"/>
          <w:sz w:val="28"/>
          <w:szCs w:val="28"/>
          <w:highlight w:val="none"/>
          <w:u w:val="single"/>
        </w:rPr>
        <w:t xml:space="preserve">      </w:t>
      </w:r>
      <w:r>
        <w:rPr>
          <w:rFonts w:hint="eastAsia"/>
          <w:color w:val="auto"/>
          <w:sz w:val="28"/>
          <w:szCs w:val="28"/>
          <w:highlight w:val="none"/>
        </w:rPr>
        <w:t>年</w:t>
      </w:r>
      <w:r>
        <w:rPr>
          <w:rFonts w:hint="eastAsia"/>
          <w:color w:val="auto"/>
          <w:sz w:val="28"/>
          <w:szCs w:val="28"/>
          <w:highlight w:val="none"/>
          <w:u w:val="single"/>
        </w:rPr>
        <w:t xml:space="preserve">    </w:t>
      </w:r>
      <w:r>
        <w:rPr>
          <w:rFonts w:hint="eastAsia"/>
          <w:color w:val="auto"/>
          <w:sz w:val="28"/>
          <w:szCs w:val="28"/>
          <w:highlight w:val="none"/>
        </w:rPr>
        <w:t>月</w:t>
      </w:r>
      <w:r>
        <w:rPr>
          <w:rFonts w:hint="eastAsia"/>
          <w:color w:val="auto"/>
          <w:sz w:val="28"/>
          <w:szCs w:val="28"/>
          <w:highlight w:val="none"/>
          <w:u w:val="single"/>
        </w:rPr>
        <w:t xml:space="preserve">    </w:t>
      </w:r>
      <w:r>
        <w:rPr>
          <w:rFonts w:hint="eastAsia"/>
          <w:color w:val="auto"/>
          <w:sz w:val="28"/>
          <w:szCs w:val="28"/>
          <w:highlight w:val="none"/>
        </w:rPr>
        <w:t>日承建我单位建设的</w:t>
      </w:r>
      <w:r>
        <w:rPr>
          <w:rFonts w:hint="eastAsia"/>
          <w:color w:val="auto"/>
          <w:sz w:val="28"/>
          <w:szCs w:val="28"/>
          <w:highlight w:val="none"/>
          <w:u w:val="single"/>
        </w:rPr>
        <w:t>（项目名称）</w:t>
      </w:r>
      <w:r>
        <w:rPr>
          <w:rFonts w:hint="eastAsia"/>
          <w:color w:val="auto"/>
          <w:sz w:val="28"/>
          <w:szCs w:val="28"/>
          <w:highlight w:val="none"/>
        </w:rPr>
        <w:t>工程，工程类型：</w:t>
      </w:r>
      <w:r>
        <w:rPr>
          <w:rFonts w:hint="eastAsia" w:ascii="宋体" w:hAnsi="宋体" w:cs="宋体"/>
          <w:color w:val="auto"/>
          <w:spacing w:val="-2"/>
          <w:szCs w:val="21"/>
          <w:highlight w:val="none"/>
          <w:u w:val="single"/>
        </w:rPr>
        <w:t xml:space="preserve">                   </w:t>
      </w:r>
      <w:r>
        <w:rPr>
          <w:rFonts w:hint="eastAsia"/>
          <w:color w:val="auto"/>
          <w:sz w:val="28"/>
          <w:szCs w:val="28"/>
          <w:highlight w:val="none"/>
        </w:rPr>
        <w:t>，合同建筑面积为：</w:t>
      </w:r>
      <w:r>
        <w:rPr>
          <w:rFonts w:hint="eastAsia"/>
          <w:color w:val="auto"/>
          <w:sz w:val="28"/>
          <w:szCs w:val="28"/>
          <w:highlight w:val="none"/>
          <w:u w:val="single"/>
        </w:rPr>
        <w:t xml:space="preserve">                </w:t>
      </w:r>
      <w:r>
        <w:rPr>
          <w:rFonts w:hint="eastAsia"/>
          <w:color w:val="auto"/>
          <w:sz w:val="28"/>
          <w:szCs w:val="28"/>
          <w:highlight w:val="none"/>
        </w:rPr>
        <w:t>，其中装修面积为：</w:t>
      </w:r>
      <w:r>
        <w:rPr>
          <w:rFonts w:hint="eastAsia"/>
          <w:color w:val="auto"/>
          <w:sz w:val="28"/>
          <w:szCs w:val="28"/>
          <w:highlight w:val="none"/>
          <w:u w:val="single"/>
        </w:rPr>
        <w:t xml:space="preserve">      </w:t>
      </w:r>
      <w:r>
        <w:rPr>
          <w:rFonts w:hint="eastAsia"/>
          <w:color w:val="auto"/>
          <w:sz w:val="28"/>
          <w:szCs w:val="28"/>
          <w:highlight w:val="none"/>
          <w:u w:val="single"/>
          <w:lang w:val="en-US" w:eastAsia="zh-CN"/>
        </w:rPr>
        <w:t>/</w:t>
      </w:r>
      <w:r>
        <w:rPr>
          <w:rFonts w:hint="eastAsia"/>
          <w:color w:val="auto"/>
          <w:sz w:val="28"/>
          <w:szCs w:val="28"/>
          <w:highlight w:val="none"/>
          <w:u w:val="single"/>
        </w:rPr>
        <w:t xml:space="preserve">      </w:t>
      </w:r>
      <w:r>
        <w:rPr>
          <w:rFonts w:hint="eastAsia"/>
          <w:color w:val="auto"/>
          <w:sz w:val="28"/>
          <w:szCs w:val="28"/>
          <w:highlight w:val="none"/>
        </w:rPr>
        <w:t>，总监理工程师为：</w:t>
      </w:r>
      <w:r>
        <w:rPr>
          <w:rFonts w:hint="eastAsia"/>
          <w:color w:val="auto"/>
          <w:sz w:val="28"/>
          <w:szCs w:val="28"/>
          <w:highlight w:val="none"/>
          <w:u w:val="single"/>
        </w:rPr>
        <w:t xml:space="preserve">              </w:t>
      </w:r>
      <w:r>
        <w:rPr>
          <w:rFonts w:hint="eastAsia"/>
          <w:color w:val="auto"/>
          <w:sz w:val="28"/>
          <w:szCs w:val="28"/>
          <w:highlight w:val="none"/>
        </w:rPr>
        <w:t>，竣工时间为：</w:t>
      </w:r>
      <w:r>
        <w:rPr>
          <w:rFonts w:hint="eastAsia"/>
          <w:color w:val="auto"/>
          <w:sz w:val="28"/>
          <w:szCs w:val="28"/>
          <w:highlight w:val="none"/>
          <w:u w:val="single"/>
        </w:rPr>
        <w:t xml:space="preserve">     </w:t>
      </w:r>
      <w:r>
        <w:rPr>
          <w:rFonts w:hint="eastAsia"/>
          <w:color w:val="auto"/>
          <w:sz w:val="28"/>
          <w:szCs w:val="28"/>
          <w:highlight w:val="none"/>
        </w:rPr>
        <w:t>年</w:t>
      </w:r>
      <w:r>
        <w:rPr>
          <w:rFonts w:hint="eastAsia"/>
          <w:color w:val="auto"/>
          <w:sz w:val="28"/>
          <w:szCs w:val="28"/>
          <w:highlight w:val="none"/>
          <w:u w:val="single"/>
        </w:rPr>
        <w:t xml:space="preserve">     </w:t>
      </w:r>
      <w:r>
        <w:rPr>
          <w:rFonts w:hint="eastAsia"/>
          <w:color w:val="auto"/>
          <w:sz w:val="28"/>
          <w:szCs w:val="28"/>
          <w:highlight w:val="none"/>
        </w:rPr>
        <w:t>月</w:t>
      </w:r>
      <w:r>
        <w:rPr>
          <w:rFonts w:hint="eastAsia"/>
          <w:color w:val="auto"/>
          <w:sz w:val="28"/>
          <w:szCs w:val="28"/>
          <w:highlight w:val="none"/>
          <w:u w:val="single"/>
        </w:rPr>
        <w:t xml:space="preserve">     </w:t>
      </w:r>
      <w:r>
        <w:rPr>
          <w:rFonts w:hint="eastAsia"/>
          <w:color w:val="auto"/>
          <w:sz w:val="28"/>
          <w:szCs w:val="28"/>
          <w:highlight w:val="none"/>
        </w:rPr>
        <w:t>日。</w:t>
      </w:r>
    </w:p>
    <w:p w14:paraId="16A1A888">
      <w:pPr>
        <w:ind w:firstLine="560" w:firstLineChars="200"/>
        <w:rPr>
          <w:color w:val="auto"/>
          <w:sz w:val="28"/>
          <w:szCs w:val="28"/>
          <w:highlight w:val="none"/>
        </w:rPr>
      </w:pPr>
      <w:r>
        <w:rPr>
          <w:rFonts w:hint="eastAsia"/>
          <w:color w:val="auto"/>
          <w:sz w:val="28"/>
          <w:szCs w:val="28"/>
          <w:highlight w:val="none"/>
        </w:rPr>
        <w:t>特此证明！</w:t>
      </w:r>
    </w:p>
    <w:p w14:paraId="0B0844BA">
      <w:pPr>
        <w:pStyle w:val="2"/>
        <w:rPr>
          <w:color w:val="auto"/>
          <w:sz w:val="28"/>
          <w:szCs w:val="28"/>
          <w:highlight w:val="none"/>
        </w:rPr>
      </w:pPr>
    </w:p>
    <w:p w14:paraId="1FD592BD">
      <w:pPr>
        <w:rPr>
          <w:color w:val="auto"/>
          <w:sz w:val="28"/>
          <w:szCs w:val="28"/>
          <w:highlight w:val="none"/>
        </w:rPr>
      </w:pPr>
    </w:p>
    <w:p w14:paraId="4F17A8F1">
      <w:pPr>
        <w:pStyle w:val="2"/>
        <w:rPr>
          <w:color w:val="auto"/>
          <w:sz w:val="28"/>
          <w:szCs w:val="28"/>
          <w:highlight w:val="none"/>
        </w:rPr>
      </w:pPr>
    </w:p>
    <w:p w14:paraId="515DDF42">
      <w:pPr>
        <w:ind w:firstLine="5040" w:firstLineChars="1800"/>
        <w:rPr>
          <w:color w:val="auto"/>
          <w:sz w:val="28"/>
          <w:szCs w:val="28"/>
          <w:highlight w:val="none"/>
        </w:rPr>
      </w:pPr>
      <w:r>
        <w:rPr>
          <w:rFonts w:hint="eastAsia"/>
          <w:color w:val="auto"/>
          <w:sz w:val="28"/>
          <w:szCs w:val="28"/>
          <w:highlight w:val="none"/>
        </w:rPr>
        <w:t>建设单位名称：（盖公章）</w:t>
      </w:r>
    </w:p>
    <w:p w14:paraId="22FBFC82">
      <w:pPr>
        <w:pStyle w:val="2"/>
        <w:ind w:firstLine="5040" w:firstLineChars="1800"/>
        <w:rPr>
          <w:rFonts w:hint="eastAsia"/>
          <w:color w:val="auto"/>
          <w:highlight w:val="none"/>
        </w:rPr>
      </w:pPr>
      <w:r>
        <w:rPr>
          <w:rFonts w:hint="eastAsia"/>
          <w:color w:val="auto"/>
          <w:sz w:val="28"/>
          <w:szCs w:val="28"/>
          <w:highlight w:val="none"/>
        </w:rPr>
        <w:t>日期：     年    月    日</w:t>
      </w:r>
    </w:p>
    <w:p w14:paraId="008263AF">
      <w:pPr>
        <w:jc w:val="left"/>
        <w:rPr>
          <w:rFonts w:hint="eastAsia" w:ascii="宋体" w:hAnsi="宋体"/>
          <w:b/>
          <w:bCs/>
          <w:color w:val="auto"/>
          <w:highlight w:val="none"/>
        </w:rPr>
      </w:pPr>
    </w:p>
    <w:p w14:paraId="10749CDB">
      <w:pPr>
        <w:jc w:val="left"/>
        <w:rPr>
          <w:rFonts w:hint="eastAsia" w:ascii="宋体" w:hAnsi="宋体"/>
          <w:b/>
          <w:bCs/>
          <w:color w:val="auto"/>
          <w:highlight w:val="none"/>
        </w:rPr>
      </w:pPr>
    </w:p>
    <w:p w14:paraId="0E907188">
      <w:pPr>
        <w:jc w:val="left"/>
        <w:rPr>
          <w:rFonts w:hint="eastAsia" w:ascii="宋体" w:hAnsi="宋体"/>
          <w:b/>
          <w:bCs/>
          <w:color w:val="auto"/>
          <w:highlight w:val="none"/>
        </w:rPr>
      </w:pPr>
    </w:p>
    <w:p w14:paraId="1CD19FED">
      <w:pPr>
        <w:jc w:val="left"/>
        <w:rPr>
          <w:rFonts w:hint="eastAsia" w:ascii="宋体" w:hAnsi="宋体"/>
          <w:b/>
          <w:bCs/>
          <w:color w:val="auto"/>
          <w:highlight w:val="none"/>
        </w:rPr>
      </w:pPr>
    </w:p>
    <w:p w14:paraId="47470CE9">
      <w:pPr>
        <w:jc w:val="left"/>
        <w:rPr>
          <w:rFonts w:hint="eastAsia" w:ascii="宋体" w:hAnsi="宋体"/>
          <w:b/>
          <w:color w:val="auto"/>
          <w:kern w:val="0"/>
          <w:sz w:val="44"/>
          <w:szCs w:val="44"/>
          <w:highlight w:val="none"/>
        </w:rPr>
      </w:pPr>
      <w:r>
        <w:rPr>
          <w:rFonts w:hint="eastAsia" w:ascii="宋体" w:hAnsi="宋体"/>
          <w:b/>
          <w:bCs/>
          <w:color w:val="auto"/>
          <w:highlight w:val="none"/>
        </w:rPr>
        <w:br w:type="page"/>
      </w:r>
      <w:r>
        <w:rPr>
          <w:rFonts w:hint="eastAsia" w:ascii="宋体" w:hAnsi="宋体"/>
          <w:b/>
          <w:bCs/>
          <w:color w:val="auto"/>
          <w:highlight w:val="none"/>
        </w:rPr>
        <w:t>附件五：</w:t>
      </w:r>
    </w:p>
    <w:p w14:paraId="2F241518">
      <w:pPr>
        <w:jc w:val="center"/>
        <w:rPr>
          <w:rFonts w:hint="eastAsia"/>
          <w:b/>
          <w:color w:val="auto"/>
          <w:kern w:val="0"/>
          <w:sz w:val="44"/>
          <w:szCs w:val="44"/>
          <w:highlight w:val="none"/>
        </w:rPr>
      </w:pPr>
      <w:r>
        <w:rPr>
          <w:rFonts w:hint="eastAsia" w:ascii="宋体" w:hAnsi="宋体"/>
          <w:b/>
          <w:color w:val="auto"/>
          <w:kern w:val="0"/>
          <w:sz w:val="44"/>
          <w:szCs w:val="44"/>
          <w:highlight w:val="none"/>
        </w:rPr>
        <w:t>零星工程投标报名表</w:t>
      </w:r>
    </w:p>
    <w:tbl>
      <w:tblPr>
        <w:tblStyle w:val="3"/>
        <w:tblW w:w="0" w:type="auto"/>
        <w:tblInd w:w="11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747"/>
        <w:gridCol w:w="6492"/>
      </w:tblGrid>
      <w:tr w14:paraId="2F800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5" w:hRule="atLeast"/>
        </w:trPr>
        <w:tc>
          <w:tcPr>
            <w:tcW w:w="2747" w:type="dxa"/>
            <w:tcBorders>
              <w:top w:val="single" w:color="auto" w:sz="6" w:space="0"/>
              <w:left w:val="single" w:color="auto" w:sz="6" w:space="0"/>
              <w:bottom w:val="single" w:color="auto" w:sz="6" w:space="0"/>
              <w:right w:val="single" w:color="auto" w:sz="6" w:space="0"/>
            </w:tcBorders>
            <w:noWrap w:val="0"/>
            <w:vAlign w:val="center"/>
          </w:tcPr>
          <w:p w14:paraId="5DA87C64">
            <w:pPr>
              <w:autoSpaceDE w:val="0"/>
              <w:autoSpaceDN w:val="0"/>
              <w:jc w:val="center"/>
              <w:rPr>
                <w:rFonts w:ascii="宋体" w:hAnsi="宋体"/>
                <w:color w:val="auto"/>
                <w:kern w:val="0"/>
                <w:szCs w:val="21"/>
                <w:highlight w:val="none"/>
              </w:rPr>
            </w:pPr>
            <w:r>
              <w:rPr>
                <w:rFonts w:hint="eastAsia" w:ascii="宋体" w:hAnsi="宋体"/>
                <w:color w:val="auto"/>
                <w:kern w:val="0"/>
                <w:highlight w:val="none"/>
              </w:rPr>
              <w:t>招标单位</w:t>
            </w:r>
          </w:p>
        </w:tc>
        <w:tc>
          <w:tcPr>
            <w:tcW w:w="6492" w:type="dxa"/>
            <w:tcBorders>
              <w:top w:val="single" w:color="auto" w:sz="6" w:space="0"/>
              <w:left w:val="nil"/>
              <w:bottom w:val="single" w:color="auto" w:sz="6" w:space="0"/>
              <w:right w:val="single" w:color="auto" w:sz="6" w:space="0"/>
            </w:tcBorders>
            <w:noWrap w:val="0"/>
            <w:vAlign w:val="center"/>
          </w:tcPr>
          <w:p w14:paraId="31733BAD">
            <w:pPr>
              <w:autoSpaceDE w:val="0"/>
              <w:autoSpaceDN w:val="0"/>
              <w:jc w:val="center"/>
              <w:rPr>
                <w:rFonts w:hint="eastAsia" w:ascii="宋体" w:hAnsi="宋体" w:eastAsia="宋体"/>
                <w:color w:val="auto"/>
                <w:kern w:val="0"/>
                <w:szCs w:val="21"/>
                <w:highlight w:val="none"/>
                <w:lang w:eastAsia="zh-CN"/>
              </w:rPr>
            </w:pPr>
            <w:r>
              <w:rPr>
                <w:rFonts w:hint="eastAsia" w:ascii="宋体" w:hAnsi="宋体" w:cs="宋体"/>
                <w:color w:val="auto"/>
                <w:szCs w:val="21"/>
                <w:highlight w:val="none"/>
                <w:lang w:eastAsia="zh-CN"/>
              </w:rPr>
              <w:t>常州新航动力装备开发有限公司</w:t>
            </w:r>
          </w:p>
        </w:tc>
      </w:tr>
      <w:tr w14:paraId="0B110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1" w:hRule="atLeast"/>
        </w:trPr>
        <w:tc>
          <w:tcPr>
            <w:tcW w:w="2747" w:type="dxa"/>
            <w:tcBorders>
              <w:top w:val="single" w:color="auto" w:sz="6" w:space="0"/>
              <w:left w:val="single" w:color="auto" w:sz="6" w:space="0"/>
              <w:bottom w:val="single" w:color="auto" w:sz="6" w:space="0"/>
              <w:right w:val="single" w:color="auto" w:sz="6" w:space="0"/>
            </w:tcBorders>
            <w:noWrap w:val="0"/>
            <w:vAlign w:val="center"/>
          </w:tcPr>
          <w:p w14:paraId="6FB11EE7">
            <w:pPr>
              <w:autoSpaceDE w:val="0"/>
              <w:autoSpaceDN w:val="0"/>
              <w:jc w:val="center"/>
              <w:rPr>
                <w:rFonts w:ascii="宋体" w:hAnsi="宋体"/>
                <w:color w:val="auto"/>
                <w:kern w:val="0"/>
                <w:szCs w:val="21"/>
                <w:highlight w:val="none"/>
              </w:rPr>
            </w:pPr>
            <w:r>
              <w:rPr>
                <w:rFonts w:hint="eastAsia" w:ascii="宋体" w:hAnsi="宋体"/>
                <w:color w:val="auto"/>
                <w:kern w:val="0"/>
                <w:highlight w:val="none"/>
              </w:rPr>
              <w:t>项目名称</w:t>
            </w:r>
          </w:p>
        </w:tc>
        <w:tc>
          <w:tcPr>
            <w:tcW w:w="6492" w:type="dxa"/>
            <w:tcBorders>
              <w:top w:val="single" w:color="auto" w:sz="6" w:space="0"/>
              <w:left w:val="nil"/>
              <w:bottom w:val="single" w:color="auto" w:sz="6" w:space="0"/>
              <w:right w:val="single" w:color="auto" w:sz="6" w:space="0"/>
            </w:tcBorders>
            <w:noWrap w:val="0"/>
            <w:vAlign w:val="center"/>
          </w:tcPr>
          <w:p w14:paraId="444949AF">
            <w:pPr>
              <w:autoSpaceDE w:val="0"/>
              <w:autoSpaceDN w:val="0"/>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常州空港产业园科技企业加速器(二期）项目监理</w:t>
            </w:r>
          </w:p>
        </w:tc>
      </w:tr>
      <w:tr w14:paraId="082EB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1" w:hRule="atLeast"/>
        </w:trPr>
        <w:tc>
          <w:tcPr>
            <w:tcW w:w="2747" w:type="dxa"/>
            <w:tcBorders>
              <w:top w:val="single" w:color="auto" w:sz="6" w:space="0"/>
              <w:left w:val="single" w:color="auto" w:sz="6" w:space="0"/>
              <w:bottom w:val="single" w:color="auto" w:sz="6" w:space="0"/>
              <w:right w:val="single" w:color="auto" w:sz="6" w:space="0"/>
            </w:tcBorders>
            <w:noWrap w:val="0"/>
            <w:vAlign w:val="center"/>
          </w:tcPr>
          <w:p w14:paraId="225C9099">
            <w:pPr>
              <w:autoSpaceDE w:val="0"/>
              <w:autoSpaceDN w:val="0"/>
              <w:jc w:val="center"/>
              <w:rPr>
                <w:rFonts w:ascii="宋体" w:hAnsi="宋体"/>
                <w:color w:val="auto"/>
                <w:kern w:val="0"/>
                <w:szCs w:val="21"/>
                <w:highlight w:val="none"/>
              </w:rPr>
            </w:pPr>
            <w:r>
              <w:rPr>
                <w:rFonts w:hint="eastAsia" w:ascii="宋体" w:hAnsi="宋体"/>
                <w:color w:val="auto"/>
                <w:kern w:val="0"/>
                <w:highlight w:val="none"/>
              </w:rPr>
              <w:t>项目地址</w:t>
            </w:r>
          </w:p>
        </w:tc>
        <w:tc>
          <w:tcPr>
            <w:tcW w:w="6492" w:type="dxa"/>
            <w:tcBorders>
              <w:top w:val="single" w:color="auto" w:sz="6" w:space="0"/>
              <w:left w:val="nil"/>
              <w:bottom w:val="single" w:color="auto" w:sz="6" w:space="0"/>
              <w:right w:val="single" w:color="auto" w:sz="6" w:space="0"/>
            </w:tcBorders>
            <w:noWrap w:val="0"/>
            <w:vAlign w:val="center"/>
          </w:tcPr>
          <w:p w14:paraId="2ADF0668">
            <w:pPr>
              <w:autoSpaceDE w:val="0"/>
              <w:autoSpaceDN w:val="0"/>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江苏省常州市新北区罗溪镇黄河西路以南、龙城大道以西</w:t>
            </w:r>
          </w:p>
        </w:tc>
      </w:tr>
      <w:tr w14:paraId="2F7B0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5" w:hRule="atLeast"/>
        </w:trPr>
        <w:tc>
          <w:tcPr>
            <w:tcW w:w="9239" w:type="dxa"/>
            <w:gridSpan w:val="2"/>
            <w:tcBorders>
              <w:top w:val="single" w:color="auto" w:sz="6" w:space="0"/>
              <w:left w:val="single" w:color="auto" w:sz="6" w:space="0"/>
              <w:bottom w:val="single" w:color="auto" w:sz="6" w:space="0"/>
              <w:right w:val="single" w:color="auto" w:sz="6" w:space="0"/>
            </w:tcBorders>
            <w:noWrap w:val="0"/>
            <w:vAlign w:val="center"/>
          </w:tcPr>
          <w:p w14:paraId="7859E08B">
            <w:pPr>
              <w:autoSpaceDE w:val="0"/>
              <w:autoSpaceDN w:val="0"/>
              <w:jc w:val="center"/>
              <w:rPr>
                <w:rFonts w:ascii="宋体" w:hAnsi="宋体"/>
                <w:color w:val="auto"/>
                <w:kern w:val="0"/>
                <w:szCs w:val="21"/>
                <w:highlight w:val="none"/>
              </w:rPr>
            </w:pPr>
            <w:r>
              <w:rPr>
                <w:rFonts w:hint="eastAsia" w:ascii="宋体" w:hAnsi="宋体"/>
                <w:color w:val="auto"/>
                <w:kern w:val="0"/>
                <w:highlight w:val="none"/>
              </w:rPr>
              <w:t>投标单位报名情况</w:t>
            </w:r>
          </w:p>
        </w:tc>
      </w:tr>
      <w:tr w14:paraId="2A898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5" w:hRule="atLeast"/>
        </w:trPr>
        <w:tc>
          <w:tcPr>
            <w:tcW w:w="2747" w:type="dxa"/>
            <w:tcBorders>
              <w:top w:val="single" w:color="auto" w:sz="6" w:space="0"/>
              <w:left w:val="single" w:color="auto" w:sz="6" w:space="0"/>
              <w:bottom w:val="single" w:color="auto" w:sz="6" w:space="0"/>
              <w:right w:val="single" w:color="auto" w:sz="6" w:space="0"/>
            </w:tcBorders>
            <w:noWrap w:val="0"/>
            <w:vAlign w:val="center"/>
          </w:tcPr>
          <w:p w14:paraId="310D1E9B">
            <w:pPr>
              <w:autoSpaceDE w:val="0"/>
              <w:autoSpaceDN w:val="0"/>
              <w:jc w:val="center"/>
              <w:rPr>
                <w:rFonts w:ascii="宋体" w:hAnsi="宋体"/>
                <w:color w:val="auto"/>
                <w:kern w:val="0"/>
                <w:szCs w:val="21"/>
                <w:highlight w:val="none"/>
              </w:rPr>
            </w:pPr>
            <w:r>
              <w:rPr>
                <w:rFonts w:hint="eastAsia" w:ascii="宋体" w:hAnsi="宋体"/>
                <w:color w:val="auto"/>
                <w:kern w:val="0"/>
                <w:highlight w:val="none"/>
              </w:rPr>
              <w:t>投标单位（盖章）</w:t>
            </w:r>
          </w:p>
        </w:tc>
        <w:tc>
          <w:tcPr>
            <w:tcW w:w="6492" w:type="dxa"/>
            <w:tcBorders>
              <w:top w:val="single" w:color="auto" w:sz="6" w:space="0"/>
              <w:left w:val="nil"/>
              <w:bottom w:val="single" w:color="auto" w:sz="6" w:space="0"/>
              <w:right w:val="single" w:color="auto" w:sz="6" w:space="0"/>
            </w:tcBorders>
            <w:noWrap w:val="0"/>
            <w:vAlign w:val="center"/>
          </w:tcPr>
          <w:p w14:paraId="43B1CAA7">
            <w:pPr>
              <w:autoSpaceDE w:val="0"/>
              <w:autoSpaceDN w:val="0"/>
              <w:spacing w:line="560" w:lineRule="exact"/>
              <w:jc w:val="center"/>
              <w:rPr>
                <w:rFonts w:ascii="宋体" w:hAnsi="宋体"/>
                <w:color w:val="auto"/>
                <w:kern w:val="0"/>
                <w:szCs w:val="21"/>
                <w:highlight w:val="none"/>
              </w:rPr>
            </w:pPr>
          </w:p>
        </w:tc>
      </w:tr>
      <w:tr w14:paraId="3B693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5" w:hRule="atLeast"/>
        </w:trPr>
        <w:tc>
          <w:tcPr>
            <w:tcW w:w="2747" w:type="dxa"/>
            <w:tcBorders>
              <w:top w:val="single" w:color="auto" w:sz="6" w:space="0"/>
              <w:left w:val="single" w:color="auto" w:sz="6" w:space="0"/>
              <w:bottom w:val="single" w:color="auto" w:sz="6" w:space="0"/>
              <w:right w:val="single" w:color="auto" w:sz="6" w:space="0"/>
            </w:tcBorders>
            <w:noWrap w:val="0"/>
            <w:vAlign w:val="center"/>
          </w:tcPr>
          <w:p w14:paraId="09AD885A">
            <w:pPr>
              <w:autoSpaceDE w:val="0"/>
              <w:autoSpaceDN w:val="0"/>
              <w:jc w:val="center"/>
              <w:rPr>
                <w:rFonts w:ascii="宋体" w:hAnsi="宋体"/>
                <w:color w:val="auto"/>
                <w:kern w:val="0"/>
                <w:szCs w:val="21"/>
                <w:highlight w:val="none"/>
              </w:rPr>
            </w:pPr>
            <w:r>
              <w:rPr>
                <w:rFonts w:hint="eastAsia" w:ascii="宋体" w:hAnsi="宋体"/>
                <w:color w:val="auto"/>
                <w:kern w:val="0"/>
                <w:highlight w:val="none"/>
              </w:rPr>
              <w:t>资质等级</w:t>
            </w:r>
          </w:p>
        </w:tc>
        <w:tc>
          <w:tcPr>
            <w:tcW w:w="6492" w:type="dxa"/>
            <w:tcBorders>
              <w:top w:val="single" w:color="auto" w:sz="6" w:space="0"/>
              <w:left w:val="nil"/>
              <w:bottom w:val="single" w:color="auto" w:sz="6" w:space="0"/>
              <w:right w:val="single" w:color="auto" w:sz="6" w:space="0"/>
            </w:tcBorders>
            <w:noWrap w:val="0"/>
            <w:vAlign w:val="center"/>
          </w:tcPr>
          <w:p w14:paraId="69A7C85C">
            <w:pPr>
              <w:autoSpaceDE w:val="0"/>
              <w:autoSpaceDN w:val="0"/>
              <w:spacing w:line="560" w:lineRule="exact"/>
              <w:jc w:val="center"/>
              <w:rPr>
                <w:rFonts w:ascii="宋体" w:hAnsi="宋体"/>
                <w:color w:val="auto"/>
                <w:kern w:val="0"/>
                <w:szCs w:val="21"/>
                <w:highlight w:val="none"/>
              </w:rPr>
            </w:pPr>
          </w:p>
        </w:tc>
      </w:tr>
      <w:tr w14:paraId="0DF4F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5" w:hRule="atLeast"/>
        </w:trPr>
        <w:tc>
          <w:tcPr>
            <w:tcW w:w="2747" w:type="dxa"/>
            <w:tcBorders>
              <w:top w:val="single" w:color="auto" w:sz="6" w:space="0"/>
              <w:left w:val="single" w:color="auto" w:sz="6" w:space="0"/>
              <w:bottom w:val="single" w:color="auto" w:sz="6" w:space="0"/>
              <w:right w:val="single" w:color="auto" w:sz="6" w:space="0"/>
            </w:tcBorders>
            <w:noWrap w:val="0"/>
            <w:vAlign w:val="center"/>
          </w:tcPr>
          <w:p w14:paraId="59AAEFD6">
            <w:pPr>
              <w:autoSpaceDE w:val="0"/>
              <w:autoSpaceDN w:val="0"/>
              <w:jc w:val="center"/>
              <w:rPr>
                <w:rFonts w:ascii="宋体" w:hAnsi="宋体"/>
                <w:color w:val="auto"/>
                <w:kern w:val="0"/>
                <w:szCs w:val="21"/>
                <w:highlight w:val="none"/>
              </w:rPr>
            </w:pPr>
            <w:r>
              <w:rPr>
                <w:rFonts w:hint="eastAsia" w:ascii="宋体" w:hAnsi="宋体"/>
                <w:color w:val="auto"/>
                <w:kern w:val="0"/>
                <w:highlight w:val="none"/>
              </w:rPr>
              <w:t>法定代表人</w:t>
            </w:r>
          </w:p>
          <w:p w14:paraId="2D7291EC">
            <w:pPr>
              <w:autoSpaceDE w:val="0"/>
              <w:autoSpaceDN w:val="0"/>
              <w:jc w:val="center"/>
              <w:rPr>
                <w:rFonts w:ascii="宋体" w:hAnsi="宋体"/>
                <w:color w:val="auto"/>
                <w:kern w:val="0"/>
                <w:szCs w:val="21"/>
                <w:highlight w:val="none"/>
              </w:rPr>
            </w:pPr>
            <w:r>
              <w:rPr>
                <w:rFonts w:hint="eastAsia" w:ascii="宋体" w:hAnsi="宋体"/>
                <w:color w:val="auto"/>
                <w:kern w:val="0"/>
                <w:highlight w:val="none"/>
              </w:rPr>
              <w:t>（签字并盖章）</w:t>
            </w:r>
          </w:p>
        </w:tc>
        <w:tc>
          <w:tcPr>
            <w:tcW w:w="6492" w:type="dxa"/>
            <w:tcBorders>
              <w:top w:val="single" w:color="auto" w:sz="6" w:space="0"/>
              <w:left w:val="nil"/>
              <w:bottom w:val="single" w:color="auto" w:sz="6" w:space="0"/>
              <w:right w:val="single" w:color="auto" w:sz="6" w:space="0"/>
            </w:tcBorders>
            <w:noWrap w:val="0"/>
            <w:vAlign w:val="center"/>
          </w:tcPr>
          <w:p w14:paraId="5F78139E">
            <w:pPr>
              <w:autoSpaceDE w:val="0"/>
              <w:autoSpaceDN w:val="0"/>
              <w:spacing w:line="560" w:lineRule="exact"/>
              <w:jc w:val="center"/>
              <w:rPr>
                <w:rFonts w:ascii="宋体" w:hAnsi="宋体"/>
                <w:color w:val="auto"/>
                <w:kern w:val="0"/>
                <w:szCs w:val="21"/>
                <w:highlight w:val="none"/>
              </w:rPr>
            </w:pPr>
          </w:p>
        </w:tc>
      </w:tr>
      <w:tr w14:paraId="07AD1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1" w:hRule="atLeast"/>
        </w:trPr>
        <w:tc>
          <w:tcPr>
            <w:tcW w:w="2747" w:type="dxa"/>
            <w:tcBorders>
              <w:top w:val="single" w:color="auto" w:sz="6" w:space="0"/>
              <w:left w:val="single" w:color="auto" w:sz="6" w:space="0"/>
              <w:bottom w:val="single" w:color="auto" w:sz="6" w:space="0"/>
              <w:right w:val="single" w:color="auto" w:sz="6" w:space="0"/>
            </w:tcBorders>
            <w:noWrap w:val="0"/>
            <w:vAlign w:val="center"/>
          </w:tcPr>
          <w:p w14:paraId="3606BC19">
            <w:pPr>
              <w:autoSpaceDE w:val="0"/>
              <w:autoSpaceDN w:val="0"/>
              <w:jc w:val="center"/>
              <w:rPr>
                <w:rFonts w:ascii="宋体" w:hAnsi="宋体"/>
                <w:color w:val="auto"/>
                <w:kern w:val="0"/>
                <w:szCs w:val="21"/>
                <w:highlight w:val="none"/>
              </w:rPr>
            </w:pPr>
            <w:r>
              <w:rPr>
                <w:rFonts w:hint="eastAsia" w:ascii="宋体" w:hAnsi="宋体"/>
                <w:color w:val="auto"/>
                <w:kern w:val="0"/>
                <w:highlight w:val="none"/>
              </w:rPr>
              <w:t>投标项目负责人</w:t>
            </w:r>
          </w:p>
        </w:tc>
        <w:tc>
          <w:tcPr>
            <w:tcW w:w="6492" w:type="dxa"/>
            <w:tcBorders>
              <w:top w:val="single" w:color="auto" w:sz="6" w:space="0"/>
              <w:left w:val="nil"/>
              <w:bottom w:val="single" w:color="auto" w:sz="6" w:space="0"/>
              <w:right w:val="single" w:color="auto" w:sz="6" w:space="0"/>
            </w:tcBorders>
            <w:noWrap w:val="0"/>
            <w:vAlign w:val="center"/>
          </w:tcPr>
          <w:p w14:paraId="69657237">
            <w:pPr>
              <w:autoSpaceDE w:val="0"/>
              <w:autoSpaceDN w:val="0"/>
              <w:spacing w:line="560" w:lineRule="exact"/>
              <w:jc w:val="center"/>
              <w:rPr>
                <w:rFonts w:ascii="宋体" w:hAnsi="宋体"/>
                <w:color w:val="auto"/>
                <w:kern w:val="0"/>
                <w:szCs w:val="21"/>
                <w:highlight w:val="none"/>
              </w:rPr>
            </w:pPr>
          </w:p>
        </w:tc>
      </w:tr>
      <w:tr w14:paraId="08B20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1" w:hRule="atLeast"/>
        </w:trPr>
        <w:tc>
          <w:tcPr>
            <w:tcW w:w="2747" w:type="dxa"/>
            <w:tcBorders>
              <w:top w:val="single" w:color="auto" w:sz="6" w:space="0"/>
              <w:left w:val="single" w:color="auto" w:sz="6" w:space="0"/>
              <w:bottom w:val="single" w:color="auto" w:sz="6" w:space="0"/>
              <w:right w:val="single" w:color="auto" w:sz="6" w:space="0"/>
            </w:tcBorders>
            <w:noWrap w:val="0"/>
            <w:vAlign w:val="center"/>
          </w:tcPr>
          <w:p w14:paraId="3BE8884C">
            <w:pPr>
              <w:autoSpaceDE w:val="0"/>
              <w:autoSpaceDN w:val="0"/>
              <w:jc w:val="center"/>
              <w:rPr>
                <w:rFonts w:ascii="宋体" w:hAnsi="宋体"/>
                <w:color w:val="auto"/>
                <w:kern w:val="0"/>
                <w:szCs w:val="21"/>
                <w:highlight w:val="none"/>
              </w:rPr>
            </w:pPr>
            <w:r>
              <w:rPr>
                <w:rFonts w:hint="eastAsia" w:ascii="宋体" w:hAnsi="宋体"/>
                <w:color w:val="auto"/>
                <w:kern w:val="0"/>
                <w:highlight w:val="none"/>
              </w:rPr>
              <w:t>授权委托人</w:t>
            </w:r>
          </w:p>
        </w:tc>
        <w:tc>
          <w:tcPr>
            <w:tcW w:w="6492" w:type="dxa"/>
            <w:tcBorders>
              <w:top w:val="single" w:color="auto" w:sz="6" w:space="0"/>
              <w:left w:val="nil"/>
              <w:bottom w:val="single" w:color="auto" w:sz="6" w:space="0"/>
              <w:right w:val="single" w:color="auto" w:sz="6" w:space="0"/>
            </w:tcBorders>
            <w:noWrap w:val="0"/>
            <w:vAlign w:val="center"/>
          </w:tcPr>
          <w:p w14:paraId="5AACC38A">
            <w:pPr>
              <w:autoSpaceDE w:val="0"/>
              <w:autoSpaceDN w:val="0"/>
              <w:spacing w:line="560" w:lineRule="exact"/>
              <w:jc w:val="center"/>
              <w:rPr>
                <w:rFonts w:ascii="宋体" w:hAnsi="宋体"/>
                <w:color w:val="auto"/>
                <w:kern w:val="0"/>
                <w:szCs w:val="21"/>
                <w:highlight w:val="none"/>
              </w:rPr>
            </w:pPr>
          </w:p>
        </w:tc>
      </w:tr>
      <w:tr w14:paraId="4282B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5" w:hRule="atLeast"/>
        </w:trPr>
        <w:tc>
          <w:tcPr>
            <w:tcW w:w="2747" w:type="dxa"/>
            <w:tcBorders>
              <w:top w:val="single" w:color="auto" w:sz="6" w:space="0"/>
              <w:left w:val="single" w:color="auto" w:sz="6" w:space="0"/>
              <w:bottom w:val="single" w:color="auto" w:sz="6" w:space="0"/>
              <w:right w:val="single" w:color="auto" w:sz="6" w:space="0"/>
            </w:tcBorders>
            <w:noWrap w:val="0"/>
            <w:vAlign w:val="center"/>
          </w:tcPr>
          <w:p w14:paraId="7669053C">
            <w:pPr>
              <w:autoSpaceDE w:val="0"/>
              <w:autoSpaceDN w:val="0"/>
              <w:jc w:val="center"/>
              <w:rPr>
                <w:rFonts w:ascii="宋体" w:hAnsi="宋体"/>
                <w:color w:val="auto"/>
                <w:kern w:val="0"/>
                <w:szCs w:val="21"/>
                <w:highlight w:val="none"/>
              </w:rPr>
            </w:pPr>
            <w:r>
              <w:rPr>
                <w:rFonts w:hint="eastAsia" w:ascii="宋体" w:hAnsi="宋体"/>
                <w:color w:val="auto"/>
                <w:kern w:val="0"/>
                <w:highlight w:val="none"/>
              </w:rPr>
              <w:t>授权委托人联系电话</w:t>
            </w:r>
          </w:p>
        </w:tc>
        <w:tc>
          <w:tcPr>
            <w:tcW w:w="6492" w:type="dxa"/>
            <w:tcBorders>
              <w:top w:val="single" w:color="auto" w:sz="6" w:space="0"/>
              <w:left w:val="nil"/>
              <w:bottom w:val="single" w:color="auto" w:sz="6" w:space="0"/>
              <w:right w:val="single" w:color="auto" w:sz="6" w:space="0"/>
            </w:tcBorders>
            <w:noWrap w:val="0"/>
            <w:vAlign w:val="center"/>
          </w:tcPr>
          <w:p w14:paraId="22FC6367">
            <w:pPr>
              <w:autoSpaceDE w:val="0"/>
              <w:autoSpaceDN w:val="0"/>
              <w:spacing w:line="560" w:lineRule="exact"/>
              <w:jc w:val="center"/>
              <w:rPr>
                <w:rFonts w:ascii="宋体" w:hAnsi="宋体"/>
                <w:color w:val="auto"/>
                <w:kern w:val="0"/>
                <w:szCs w:val="21"/>
                <w:highlight w:val="none"/>
              </w:rPr>
            </w:pPr>
          </w:p>
        </w:tc>
      </w:tr>
      <w:tr w14:paraId="48784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5" w:hRule="atLeast"/>
        </w:trPr>
        <w:tc>
          <w:tcPr>
            <w:tcW w:w="2747" w:type="dxa"/>
            <w:tcBorders>
              <w:top w:val="single" w:color="auto" w:sz="6" w:space="0"/>
              <w:left w:val="single" w:color="auto" w:sz="6" w:space="0"/>
              <w:bottom w:val="single" w:color="auto" w:sz="6" w:space="0"/>
              <w:right w:val="single" w:color="auto" w:sz="6" w:space="0"/>
            </w:tcBorders>
            <w:noWrap w:val="0"/>
            <w:vAlign w:val="center"/>
          </w:tcPr>
          <w:p w14:paraId="70A446AE">
            <w:pPr>
              <w:autoSpaceDE w:val="0"/>
              <w:autoSpaceDN w:val="0"/>
              <w:jc w:val="center"/>
              <w:rPr>
                <w:rFonts w:ascii="宋体" w:hAnsi="宋体"/>
                <w:color w:val="auto"/>
                <w:kern w:val="0"/>
                <w:szCs w:val="21"/>
                <w:highlight w:val="none"/>
              </w:rPr>
            </w:pPr>
            <w:r>
              <w:rPr>
                <w:rFonts w:hint="eastAsia" w:ascii="宋体" w:hAnsi="宋体"/>
                <w:color w:val="auto"/>
                <w:kern w:val="0"/>
                <w:highlight w:val="none"/>
              </w:rPr>
              <w:t>接受招标文件邮箱</w:t>
            </w:r>
          </w:p>
        </w:tc>
        <w:tc>
          <w:tcPr>
            <w:tcW w:w="6492" w:type="dxa"/>
            <w:tcBorders>
              <w:top w:val="single" w:color="auto" w:sz="6" w:space="0"/>
              <w:left w:val="nil"/>
              <w:bottom w:val="single" w:color="auto" w:sz="6" w:space="0"/>
              <w:right w:val="single" w:color="auto" w:sz="6" w:space="0"/>
            </w:tcBorders>
            <w:noWrap w:val="0"/>
            <w:vAlign w:val="center"/>
          </w:tcPr>
          <w:p w14:paraId="0489CEBD">
            <w:pPr>
              <w:autoSpaceDE w:val="0"/>
              <w:autoSpaceDN w:val="0"/>
              <w:spacing w:line="560" w:lineRule="exact"/>
              <w:jc w:val="center"/>
              <w:rPr>
                <w:rFonts w:ascii="宋体" w:hAnsi="宋体"/>
                <w:color w:val="auto"/>
                <w:kern w:val="0"/>
                <w:szCs w:val="21"/>
                <w:highlight w:val="none"/>
              </w:rPr>
            </w:pPr>
          </w:p>
        </w:tc>
      </w:tr>
      <w:tr w14:paraId="2C0AA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25" w:hRule="atLeast"/>
        </w:trPr>
        <w:tc>
          <w:tcPr>
            <w:tcW w:w="2747" w:type="dxa"/>
            <w:tcBorders>
              <w:top w:val="single" w:color="auto" w:sz="6" w:space="0"/>
              <w:left w:val="single" w:color="auto" w:sz="6" w:space="0"/>
              <w:bottom w:val="single" w:color="auto" w:sz="6" w:space="0"/>
              <w:right w:val="single" w:color="auto" w:sz="6" w:space="0"/>
            </w:tcBorders>
            <w:noWrap w:val="0"/>
            <w:vAlign w:val="center"/>
          </w:tcPr>
          <w:p w14:paraId="15BFB2E0">
            <w:pPr>
              <w:autoSpaceDE w:val="0"/>
              <w:autoSpaceDN w:val="0"/>
              <w:jc w:val="center"/>
              <w:rPr>
                <w:rFonts w:ascii="宋体" w:hAnsi="宋体"/>
                <w:color w:val="auto"/>
                <w:kern w:val="0"/>
                <w:szCs w:val="21"/>
                <w:highlight w:val="none"/>
              </w:rPr>
            </w:pPr>
            <w:r>
              <w:rPr>
                <w:rFonts w:hint="eastAsia" w:ascii="宋体" w:hAnsi="宋体"/>
                <w:color w:val="auto"/>
                <w:kern w:val="0"/>
                <w:highlight w:val="none"/>
              </w:rPr>
              <w:t>投标报名时间</w:t>
            </w:r>
          </w:p>
        </w:tc>
        <w:tc>
          <w:tcPr>
            <w:tcW w:w="6492" w:type="dxa"/>
            <w:tcBorders>
              <w:top w:val="single" w:color="auto" w:sz="6" w:space="0"/>
              <w:left w:val="nil"/>
              <w:bottom w:val="single" w:color="auto" w:sz="6" w:space="0"/>
              <w:right w:val="single" w:color="auto" w:sz="6" w:space="0"/>
            </w:tcBorders>
            <w:noWrap w:val="0"/>
            <w:vAlign w:val="center"/>
          </w:tcPr>
          <w:p w14:paraId="559193D2">
            <w:pPr>
              <w:autoSpaceDE w:val="0"/>
              <w:autoSpaceDN w:val="0"/>
              <w:spacing w:line="560" w:lineRule="exact"/>
              <w:jc w:val="center"/>
              <w:rPr>
                <w:rFonts w:ascii="宋体" w:hAnsi="宋体"/>
                <w:color w:val="auto"/>
                <w:kern w:val="0"/>
                <w:szCs w:val="21"/>
                <w:highlight w:val="none"/>
              </w:rPr>
            </w:pPr>
          </w:p>
        </w:tc>
      </w:tr>
      <w:tr w14:paraId="240CB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54" w:hRule="atLeast"/>
        </w:trPr>
        <w:tc>
          <w:tcPr>
            <w:tcW w:w="2747" w:type="dxa"/>
            <w:tcBorders>
              <w:top w:val="single" w:color="auto" w:sz="6" w:space="0"/>
              <w:left w:val="single" w:color="auto" w:sz="6" w:space="0"/>
              <w:bottom w:val="single" w:color="auto" w:sz="6" w:space="0"/>
              <w:right w:val="single" w:color="auto" w:sz="6" w:space="0"/>
            </w:tcBorders>
            <w:noWrap w:val="0"/>
            <w:vAlign w:val="center"/>
          </w:tcPr>
          <w:p w14:paraId="4B2CBD60">
            <w:pPr>
              <w:autoSpaceDE w:val="0"/>
              <w:autoSpaceDN w:val="0"/>
              <w:jc w:val="center"/>
              <w:rPr>
                <w:rFonts w:ascii="宋体" w:hAnsi="宋体"/>
                <w:color w:val="auto"/>
                <w:kern w:val="0"/>
                <w:szCs w:val="21"/>
                <w:highlight w:val="none"/>
              </w:rPr>
            </w:pPr>
            <w:r>
              <w:rPr>
                <w:rFonts w:hint="eastAsia" w:ascii="宋体" w:hAnsi="宋体"/>
                <w:color w:val="auto"/>
                <w:kern w:val="0"/>
                <w:highlight w:val="none"/>
              </w:rPr>
              <w:t>投标报名接受人</w:t>
            </w:r>
          </w:p>
          <w:p w14:paraId="6CF87F39">
            <w:pPr>
              <w:autoSpaceDE w:val="0"/>
              <w:autoSpaceDN w:val="0"/>
              <w:jc w:val="center"/>
              <w:rPr>
                <w:rFonts w:ascii="宋体" w:hAnsi="宋体"/>
                <w:color w:val="auto"/>
                <w:kern w:val="0"/>
                <w:szCs w:val="21"/>
                <w:highlight w:val="none"/>
              </w:rPr>
            </w:pPr>
            <w:r>
              <w:rPr>
                <w:rFonts w:hint="eastAsia" w:ascii="宋体" w:hAnsi="宋体"/>
                <w:color w:val="auto"/>
                <w:kern w:val="0"/>
                <w:highlight w:val="none"/>
              </w:rPr>
              <w:t>审查意见</w:t>
            </w:r>
          </w:p>
        </w:tc>
        <w:tc>
          <w:tcPr>
            <w:tcW w:w="6492" w:type="dxa"/>
            <w:tcBorders>
              <w:top w:val="single" w:color="auto" w:sz="6" w:space="0"/>
              <w:left w:val="nil"/>
              <w:bottom w:val="single" w:color="auto" w:sz="6" w:space="0"/>
              <w:right w:val="single" w:color="auto" w:sz="6" w:space="0"/>
            </w:tcBorders>
            <w:noWrap w:val="0"/>
            <w:vAlign w:val="center"/>
          </w:tcPr>
          <w:p w14:paraId="0EF26A35">
            <w:pPr>
              <w:autoSpaceDE w:val="0"/>
              <w:autoSpaceDN w:val="0"/>
              <w:spacing w:line="560" w:lineRule="exact"/>
              <w:jc w:val="center"/>
              <w:rPr>
                <w:rFonts w:ascii="宋体" w:hAnsi="宋体"/>
                <w:color w:val="auto"/>
                <w:kern w:val="0"/>
                <w:szCs w:val="21"/>
                <w:highlight w:val="none"/>
              </w:rPr>
            </w:pPr>
          </w:p>
          <w:p w14:paraId="5EBE9E0D">
            <w:pPr>
              <w:autoSpaceDE w:val="0"/>
              <w:autoSpaceDN w:val="0"/>
              <w:spacing w:line="560" w:lineRule="exact"/>
              <w:jc w:val="center"/>
              <w:rPr>
                <w:rFonts w:ascii="宋体" w:hAnsi="宋体"/>
                <w:color w:val="auto"/>
                <w:kern w:val="0"/>
                <w:szCs w:val="21"/>
                <w:highlight w:val="none"/>
              </w:rPr>
            </w:pPr>
            <w:r>
              <w:rPr>
                <w:rFonts w:hint="eastAsia" w:ascii="宋体" w:hAnsi="宋体"/>
                <w:color w:val="auto"/>
                <w:kern w:val="0"/>
                <w:highlight w:val="none"/>
              </w:rPr>
              <w:t xml:space="preserve">       审查人签名：       日期：</w:t>
            </w:r>
          </w:p>
        </w:tc>
      </w:tr>
      <w:tr w14:paraId="1A91B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05" w:hRule="atLeast"/>
        </w:trPr>
        <w:tc>
          <w:tcPr>
            <w:tcW w:w="2747" w:type="dxa"/>
            <w:tcBorders>
              <w:top w:val="single" w:color="auto" w:sz="6" w:space="0"/>
              <w:left w:val="single" w:color="auto" w:sz="6" w:space="0"/>
              <w:bottom w:val="single" w:color="auto" w:sz="6" w:space="0"/>
              <w:right w:val="single" w:color="auto" w:sz="6" w:space="0"/>
            </w:tcBorders>
            <w:noWrap w:val="0"/>
            <w:vAlign w:val="center"/>
          </w:tcPr>
          <w:p w14:paraId="20D69258">
            <w:pPr>
              <w:autoSpaceDE w:val="0"/>
              <w:autoSpaceDN w:val="0"/>
              <w:spacing w:line="560" w:lineRule="exact"/>
              <w:jc w:val="center"/>
              <w:rPr>
                <w:rFonts w:ascii="宋体" w:hAnsi="宋体"/>
                <w:color w:val="auto"/>
                <w:kern w:val="0"/>
                <w:szCs w:val="21"/>
                <w:highlight w:val="none"/>
              </w:rPr>
            </w:pPr>
            <w:r>
              <w:rPr>
                <w:rFonts w:hint="eastAsia" w:ascii="宋体" w:hAnsi="宋体"/>
                <w:color w:val="auto"/>
                <w:kern w:val="0"/>
                <w:highlight w:val="none"/>
              </w:rPr>
              <w:t>备  注</w:t>
            </w:r>
          </w:p>
        </w:tc>
        <w:tc>
          <w:tcPr>
            <w:tcW w:w="6492" w:type="dxa"/>
            <w:tcBorders>
              <w:top w:val="single" w:color="auto" w:sz="6" w:space="0"/>
              <w:left w:val="nil"/>
              <w:bottom w:val="single" w:color="auto" w:sz="6" w:space="0"/>
              <w:right w:val="single" w:color="auto" w:sz="6" w:space="0"/>
            </w:tcBorders>
            <w:noWrap w:val="0"/>
            <w:vAlign w:val="center"/>
          </w:tcPr>
          <w:p w14:paraId="18463539">
            <w:pPr>
              <w:autoSpaceDE w:val="0"/>
              <w:autoSpaceDN w:val="0"/>
              <w:spacing w:line="520" w:lineRule="exact"/>
              <w:ind w:left="105" w:leftChars="50" w:right="105" w:rightChars="50"/>
              <w:rPr>
                <w:rFonts w:hint="eastAsia" w:ascii="宋体" w:hAnsi="宋体"/>
                <w:color w:val="auto"/>
                <w:kern w:val="0"/>
                <w:szCs w:val="21"/>
                <w:highlight w:val="none"/>
              </w:rPr>
            </w:pPr>
            <w:r>
              <w:rPr>
                <w:rFonts w:hint="eastAsia" w:ascii="宋体" w:hAnsi="宋体"/>
                <w:color w:val="auto"/>
                <w:kern w:val="0"/>
                <w:highlight w:val="none"/>
              </w:rPr>
              <w:t>投标报名人应如实填写，表格内除投标报名接受人审查意见一栏</w:t>
            </w:r>
            <w:r>
              <w:rPr>
                <w:rFonts w:hint="eastAsia" w:ascii="宋体" w:hAnsi="宋体"/>
                <w:b/>
                <w:color w:val="auto"/>
                <w:kern w:val="0"/>
                <w:highlight w:val="none"/>
              </w:rPr>
              <w:t>其余须打印且不得修改。</w:t>
            </w:r>
          </w:p>
        </w:tc>
      </w:tr>
    </w:tbl>
    <w:p w14:paraId="2DF8974D">
      <w:pPr>
        <w:rPr>
          <w:color w:val="auto"/>
          <w:highlight w:val="none"/>
        </w:rPr>
      </w:pPr>
    </w:p>
    <w:sectPr>
      <w:pgSz w:w="11906" w:h="16838"/>
      <w:pgMar w:top="1100" w:right="1236" w:bottom="1100" w:left="123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74034"/>
    <w:multiLevelType w:val="singleLevel"/>
    <w:tmpl w:val="40374034"/>
    <w:lvl w:ilvl="0" w:tentative="0">
      <w:start w:val="1"/>
      <w:numFmt w:val="decimal"/>
      <w:suff w:val="nothing"/>
      <w:lvlText w:val="%1、"/>
      <w:lvlJc w:val="left"/>
    </w:lvl>
  </w:abstractNum>
  <w:abstractNum w:abstractNumId="1">
    <w:nsid w:val="604B660C"/>
    <w:multiLevelType w:val="singleLevel"/>
    <w:tmpl w:val="604B660C"/>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NTViZWJkNWY2ZTE4MDBhMDQxNjY2ZDlkYjhmOWIifQ=="/>
  </w:docVars>
  <w:rsids>
    <w:rsidRoot w:val="39906468"/>
    <w:rsid w:val="00A56CB1"/>
    <w:rsid w:val="00A72D9F"/>
    <w:rsid w:val="010D1849"/>
    <w:rsid w:val="012104EA"/>
    <w:rsid w:val="015C4E4C"/>
    <w:rsid w:val="01D2288C"/>
    <w:rsid w:val="02CD3414"/>
    <w:rsid w:val="02EE1D5F"/>
    <w:rsid w:val="038D0C0D"/>
    <w:rsid w:val="04336B73"/>
    <w:rsid w:val="05280385"/>
    <w:rsid w:val="05795E45"/>
    <w:rsid w:val="0666580E"/>
    <w:rsid w:val="06F90600"/>
    <w:rsid w:val="073F2CB4"/>
    <w:rsid w:val="075C28A3"/>
    <w:rsid w:val="079D469A"/>
    <w:rsid w:val="09965645"/>
    <w:rsid w:val="0C86159B"/>
    <w:rsid w:val="0D271F90"/>
    <w:rsid w:val="0D8A7B44"/>
    <w:rsid w:val="0DBC5B20"/>
    <w:rsid w:val="0E5A1F55"/>
    <w:rsid w:val="0E9D4189"/>
    <w:rsid w:val="0F2A39ED"/>
    <w:rsid w:val="129F0C93"/>
    <w:rsid w:val="12A51AA6"/>
    <w:rsid w:val="13191A65"/>
    <w:rsid w:val="14B60A59"/>
    <w:rsid w:val="15782848"/>
    <w:rsid w:val="16764CEA"/>
    <w:rsid w:val="1938063C"/>
    <w:rsid w:val="1977452F"/>
    <w:rsid w:val="19F16090"/>
    <w:rsid w:val="1AA85649"/>
    <w:rsid w:val="1B8B14BF"/>
    <w:rsid w:val="1C454170"/>
    <w:rsid w:val="1C623275"/>
    <w:rsid w:val="1C641951"/>
    <w:rsid w:val="1DA83DB7"/>
    <w:rsid w:val="1E9062B3"/>
    <w:rsid w:val="1F7C71B6"/>
    <w:rsid w:val="21506579"/>
    <w:rsid w:val="217B46FD"/>
    <w:rsid w:val="21D56090"/>
    <w:rsid w:val="21E94D31"/>
    <w:rsid w:val="22E152C9"/>
    <w:rsid w:val="230C7A96"/>
    <w:rsid w:val="230D1610"/>
    <w:rsid w:val="239B0E1A"/>
    <w:rsid w:val="245513DF"/>
    <w:rsid w:val="247934AE"/>
    <w:rsid w:val="24AD32BB"/>
    <w:rsid w:val="24AE4019"/>
    <w:rsid w:val="25FF3732"/>
    <w:rsid w:val="282412E8"/>
    <w:rsid w:val="295916E5"/>
    <w:rsid w:val="29BA0485"/>
    <w:rsid w:val="2A770838"/>
    <w:rsid w:val="2B4B6FB7"/>
    <w:rsid w:val="2B762899"/>
    <w:rsid w:val="2C4525C2"/>
    <w:rsid w:val="2C505FE8"/>
    <w:rsid w:val="2C7E6C4E"/>
    <w:rsid w:val="2CBA61BA"/>
    <w:rsid w:val="2D3A5E1D"/>
    <w:rsid w:val="2D6B14FA"/>
    <w:rsid w:val="2DB12284"/>
    <w:rsid w:val="2EED10C4"/>
    <w:rsid w:val="2F7666EC"/>
    <w:rsid w:val="3201186B"/>
    <w:rsid w:val="337558F7"/>
    <w:rsid w:val="341F3B92"/>
    <w:rsid w:val="34463A51"/>
    <w:rsid w:val="352D04CC"/>
    <w:rsid w:val="39906468"/>
    <w:rsid w:val="39AE222F"/>
    <w:rsid w:val="3A150CD9"/>
    <w:rsid w:val="3B5A356F"/>
    <w:rsid w:val="3CEC4BFF"/>
    <w:rsid w:val="3DAB17BA"/>
    <w:rsid w:val="3DCE3E6E"/>
    <w:rsid w:val="3DFE37C3"/>
    <w:rsid w:val="3E5C73DF"/>
    <w:rsid w:val="3E7E5396"/>
    <w:rsid w:val="3FC91B34"/>
    <w:rsid w:val="3FDF4A4A"/>
    <w:rsid w:val="3FEE42F3"/>
    <w:rsid w:val="40084E9C"/>
    <w:rsid w:val="402569CB"/>
    <w:rsid w:val="40BE1148"/>
    <w:rsid w:val="41F646C8"/>
    <w:rsid w:val="423275E6"/>
    <w:rsid w:val="426B6885"/>
    <w:rsid w:val="43AF701F"/>
    <w:rsid w:val="43BC2D2F"/>
    <w:rsid w:val="45543947"/>
    <w:rsid w:val="49615688"/>
    <w:rsid w:val="4B966D92"/>
    <w:rsid w:val="4C20147B"/>
    <w:rsid w:val="4CF856D5"/>
    <w:rsid w:val="4D7D33AF"/>
    <w:rsid w:val="4E12786B"/>
    <w:rsid w:val="4FB21842"/>
    <w:rsid w:val="4FB92CDA"/>
    <w:rsid w:val="4FC41B3A"/>
    <w:rsid w:val="4FF02E34"/>
    <w:rsid w:val="50704A07"/>
    <w:rsid w:val="50DB40B6"/>
    <w:rsid w:val="512D063D"/>
    <w:rsid w:val="51FB670C"/>
    <w:rsid w:val="54502464"/>
    <w:rsid w:val="554B22FB"/>
    <w:rsid w:val="55587413"/>
    <w:rsid w:val="5590756D"/>
    <w:rsid w:val="55AF3FA8"/>
    <w:rsid w:val="5633275D"/>
    <w:rsid w:val="56FE65D4"/>
    <w:rsid w:val="57052952"/>
    <w:rsid w:val="59BB1BC6"/>
    <w:rsid w:val="5A4F2439"/>
    <w:rsid w:val="5B4C57D4"/>
    <w:rsid w:val="5B9067F7"/>
    <w:rsid w:val="5B9E0ECC"/>
    <w:rsid w:val="5C7E5DDE"/>
    <w:rsid w:val="5CA6628A"/>
    <w:rsid w:val="5D0E453B"/>
    <w:rsid w:val="5FA55479"/>
    <w:rsid w:val="603718EF"/>
    <w:rsid w:val="604030F9"/>
    <w:rsid w:val="60495F87"/>
    <w:rsid w:val="60C07B37"/>
    <w:rsid w:val="61171AD8"/>
    <w:rsid w:val="618C1A96"/>
    <w:rsid w:val="61D73007"/>
    <w:rsid w:val="61DC639E"/>
    <w:rsid w:val="63E23270"/>
    <w:rsid w:val="64112ABA"/>
    <w:rsid w:val="647B46E8"/>
    <w:rsid w:val="65270084"/>
    <w:rsid w:val="65312547"/>
    <w:rsid w:val="65D514A1"/>
    <w:rsid w:val="668A09CB"/>
    <w:rsid w:val="668D2E4E"/>
    <w:rsid w:val="678B74EE"/>
    <w:rsid w:val="6857373E"/>
    <w:rsid w:val="687731D1"/>
    <w:rsid w:val="68D92A13"/>
    <w:rsid w:val="6ADC30DD"/>
    <w:rsid w:val="6F192529"/>
    <w:rsid w:val="6F33787F"/>
    <w:rsid w:val="7025268A"/>
    <w:rsid w:val="70FB4C6C"/>
    <w:rsid w:val="71180999"/>
    <w:rsid w:val="71303E41"/>
    <w:rsid w:val="71824F76"/>
    <w:rsid w:val="71AA5D09"/>
    <w:rsid w:val="72D164E9"/>
    <w:rsid w:val="73046686"/>
    <w:rsid w:val="73DA1821"/>
    <w:rsid w:val="749E4DE3"/>
    <w:rsid w:val="74C55474"/>
    <w:rsid w:val="753F6B6A"/>
    <w:rsid w:val="75843DDB"/>
    <w:rsid w:val="76785D77"/>
    <w:rsid w:val="76FB48C2"/>
    <w:rsid w:val="775F45E6"/>
    <w:rsid w:val="77C80792"/>
    <w:rsid w:val="77FE0C6C"/>
    <w:rsid w:val="782F143B"/>
    <w:rsid w:val="79C8155D"/>
    <w:rsid w:val="79CA2809"/>
    <w:rsid w:val="7A2B3800"/>
    <w:rsid w:val="7D183E47"/>
    <w:rsid w:val="7DD60D82"/>
    <w:rsid w:val="7F7D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kern w:val="2"/>
      <w:sz w:val="21"/>
      <w:szCs w:val="24"/>
      <w:lang w:val="en-US" w:eastAsia="zh-CN" w:bidi="ar-SA"/>
    </w:rPr>
  </w:style>
  <w:style w:type="character" w:styleId="5">
    <w:name w:val="Hyperlink"/>
    <w:unhideWhenUsed/>
    <w:qFormat/>
    <w:uiPriority w:val="99"/>
    <w:rPr>
      <w:color w:val="0563C1"/>
      <w:u w:val="single"/>
    </w:rPr>
  </w:style>
  <w:style w:type="paragraph" w:customStyle="1" w:styleId="6">
    <w:name w:val="_Style 1"/>
    <w:basedOn w:val="1"/>
    <w:qFormat/>
    <w:uiPriority w:val="99"/>
    <w:pPr>
      <w:jc w:val="left"/>
    </w:pPr>
    <w:rPr>
      <w:rFonts w:ascii="Calibri" w:hAnsi="Calibri"/>
      <w:kern w:val="0"/>
      <w:sz w:val="22"/>
      <w:szCs w:val="22"/>
      <w:lang w:eastAsia="en-US" w:bidi="en-US"/>
    </w:rPr>
  </w:style>
  <w:style w:type="paragraph" w:customStyle="1" w:styleId="7">
    <w:name w:val="无间隔1"/>
    <w:basedOn w:val="1"/>
    <w:qFormat/>
    <w:uiPriority w:val="99"/>
  </w:style>
  <w:style w:type="paragraph" w:customStyle="1" w:styleId="8">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9">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文本_0"/>
    <w:basedOn w:val="11"/>
    <w:qFormat/>
    <w:uiPriority w:val="0"/>
    <w:rPr>
      <w:sz w:val="21"/>
      <w:szCs w:val="21"/>
    </w:rPr>
  </w:style>
  <w:style w:type="paragraph" w:customStyle="1" w:styleId="11">
    <w:name w:val="正文_0"/>
    <w:qFormat/>
    <w:uiPriority w:val="1"/>
    <w:pPr>
      <w:widowControl w:val="0"/>
      <w:autoSpaceDE w:val="0"/>
      <w:autoSpaceDN w:val="0"/>
    </w:pPr>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6681</Words>
  <Characters>7262</Characters>
  <Lines>0</Lines>
  <Paragraphs>0</Paragraphs>
  <TotalTime>27</TotalTime>
  <ScaleCrop>false</ScaleCrop>
  <LinksUpToDate>false</LinksUpToDate>
  <CharactersWithSpaces>7556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2025-03-07T01:55:00Z</dcterms:created>
  <dc:creator>。</dc:creator>
  <cp:lastModifiedBy>WPS5637</cp:lastModifiedBy>
  <dcterms:modified xsi:type="dcterms:W3CDTF">2025-03-26T01:45:04Z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EAA6C8A6A93F49618BA29F9F087B2E7E</vt:lpwstr>
  </property>
  <property fmtid="{D5CDD505-2E9C-101B-9397-08002B2CF9AE}" pid="4" name="KSOTemplateDocerSaveRecord">
    <vt:lpwstr>eyJoZGlkIjoiMjMyODhhMmNhMzdiMzhiNjI3YzY5NTcwNWE5ZGY5M2UiLCJ1c2VySWQiOiIxNDg1MjE2MDcwIn0=</vt:lpwstr>
  </property>
</Properties>
</file>